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5.png" ContentType="image/png"/>
  <Override PartName="/word/media/rId46.png" ContentType="image/png"/>
  <Override PartName="/word/media/rId66.png" ContentType="image/png"/>
  <Override PartName="/word/media/rId60.png" ContentType="image/png"/>
  <Override PartName="/word/media/rId33.png" ContentType="image/png"/>
  <Override PartName="/word/media/rId64.png" ContentType="image/png"/>
  <Override PartName="/word/media/rId59.png" ContentType="image/png"/>
  <Override PartName="/word/media/rId41.png" ContentType="image/png"/>
  <Override PartName="/word/media/rId43.png" ContentType="image/png"/>
  <Override PartName="/word/media/rId75.png" ContentType="image/png"/>
  <Override PartName="/word/media/rId39.png" ContentType="image/png"/>
  <Override PartName="/word/media/rId38.png" ContentType="image/png"/>
  <Override PartName="/word/media/rId26.png" ContentType="image/png"/>
  <Override PartName="/word/media/rId78.png" ContentType="image/png"/>
  <Override PartName="/word/media/rId57.png" ContentType="image/png"/>
  <Override PartName="/word/media/rId81.png" ContentType="image/png"/>
  <Override PartName="/word/media/rId80.png" ContentType="image/png"/>
  <Override PartName="/word/media/rId34.png" ContentType="image/png"/>
  <Override PartName="/word/media/rId58.png" ContentType="image/png"/>
  <Override PartName="/word/media/rId62.png" ContentType="image/png"/>
  <Override PartName="/word/media/rId63.png" ContentType="image/png"/>
  <Override PartName="/word/media/rId67.png" ContentType="image/png"/>
  <Override PartName="/word/media/rId45.png" ContentType="image/png"/>
  <Override PartName="/word/media/rId52.png" ContentType="image/png"/>
  <Override PartName="/word/media/rId51.png" ContentType="image/png"/>
  <Override PartName="/word/media/rId83.png" ContentType="image/png"/>
  <Override PartName="/word/media/rId84.png" ContentType="image/png"/>
  <Override PartName="/word/media/rId85.png" ContentType="image/png"/>
  <Override PartName="/word/media/rId86.png" ContentType="image/png"/>
  <Override PartName="/word/media/rId74.png" ContentType="image/png"/>
  <Override PartName="/word/media/rId56.png" ContentType="image/png"/>
  <Override PartName="/word/media/rId68.png" ContentType="image/png"/>
  <Override PartName="/word/media/rId49.png" ContentType="image/png"/>
  <Override PartName="/word/media/rId36.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June</w:t>
      </w:r>
      <w:r>
        <w:t xml:space="preserve"> </w:t>
      </w:r>
      <w:r>
        <w:t xml:space="preserve">09,</w:t>
      </w:r>
      <w:r>
        <w:t xml:space="preserve"> </w:t>
      </w:r>
      <w:r>
        <w:t xml:space="preserve">2020</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Introduction</w:t>
      </w:r>
      <w:bookmarkEnd w:id="22"/>
    </w:p>
    <w:p>
      <w:pPr>
        <w:pStyle w:val="Heading2"/>
      </w:pPr>
      <w:bookmarkStart w:id="23" w:name="motivation"/>
      <w:r>
        <w:t xml:space="preserve">Motivation for Developing the FishPath Tool and FishPath Process</w:t>
      </w:r>
      <w:bookmarkEnd w:id="23"/>
    </w:p>
    <w:p>
      <w:pPr>
        <w:pStyle w:val="FirstParagraph"/>
      </w:pPr>
      <w:r>
        <w:t xml:space="preserve">Sustainable fisheries management tends to be underpinned by harvest strategies that specify a predefined relationship among data collection programs, assessment methods, and management measures. However, only a small fraction of the world’s fisheries has these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developing fully articulated harvest strategies, which includes determining, linking, and implementing appropriate options. Understanding the full suite of available data collection, stock assessment, and management measure options and choosing the options most appropriate for each fishery is an often-daunting process, given the full landscape of options. Exacerbating the challenge of numerous options, data-limited fisheries are often simultaneously capacity-limited. In addition, small-scale fisheries have unique characteristics and challenges, requiring unique and tailored plans, and where</w:t>
      </w:r>
      <w:r>
        <w:t xml:space="preserve"> </w:t>
      </w:r>
      <w:r>
        <w:t xml:space="preserve">“</w:t>
      </w:r>
      <w:r>
        <w:t xml:space="preserve">silver bullet</w:t>
      </w:r>
      <w:r>
        <w:t xml:space="preserve">”</w:t>
      </w:r>
      <w:r>
        <w:t xml:space="preserve"> </w:t>
      </w:r>
      <w:r>
        <w:t xml:space="preserve">approaches that do not fully consider the entire fishery’s unique challenges must be avoided. An enormous challenge lies in making fisheries technical information, resources, and harvest strategy support tools accessible, simple, and structured, while not oversimplifying the innate complexity and nuanced aspects of each individual fishery setting as to the detriment of the fishery and fishery participants.</w:t>
      </w:r>
    </w:p>
    <w:p>
      <w:pPr>
        <w:pStyle w:val="BodyText"/>
      </w:pPr>
      <w:r>
        <w:t xml:space="preserve">FishPath was developed as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is something that everyone working in fisheries tries to do anyway — try and figure out what to do with what you have. It is simply a highly organized and inclusive way to do it and should be the entry point of any fisheries management development.</w:t>
      </w:r>
    </w:p>
    <w:p>
      <w:pPr>
        <w:pStyle w:val="BodyText"/>
      </w:pPr>
      <w:r>
        <w:t xml:space="preserve">FishPath includes a stakeholder engagement process which is underpinned by the FishPath tool. The FishPath process aims to engage stakeholders and build capacity to develop predefined fisheries harvest strategies that are tailored to local conditions and challenges. The FishPath tool supports the process of narrowing down and identifying viable components of the management strategy. However, the FishPath tool, while providing advice on narrowing the viable list of harvest strategy options, does not make the final selection or articulate the details of, evaluate, and implement the harvest strategy. It is strongly encouraged that users work with trained facilitators from the FishPath Network to facilitate this process and use resources found within the FishPath tool that identify appropriate tools for carrying out the harvest strategy.</w:t>
      </w:r>
    </w:p>
    <w:p>
      <w:pPr>
        <w:pStyle w:val="Heading2"/>
      </w:pPr>
      <w:bookmarkStart w:id="24" w:name="fishpath-tool-overview"/>
      <w:r>
        <w:t xml:space="preserve">FishPath Tool Overview</w:t>
      </w:r>
      <w:bookmarkEnd w:id="24"/>
    </w:p>
    <w:p>
      <w:pPr>
        <w:pStyle w:val="FirstParagraph"/>
      </w:pPr>
      <w:r>
        <w:t xml:space="preserve">The FishPath tool is an online decision-support tool that streamlines the process for identifying options for the 3 central components of a harvest strategy, specifically, the appropriate options for data collection programs, stock assessments, and management measures (or harvest control rules). The FishPath Tool Platform is a web-based software tool that is developed using Javascript and the React-Redux framework. It is hosted on Amazon Web Services (AWS) servers.</w:t>
      </w:r>
    </w:p>
    <w:p>
      <w:pPr>
        <w:pStyle w:val="BodyText"/>
      </w:pPr>
      <w:r>
        <w:t xml:space="preserve">To do this, FishPath tool users answer a series of multiple-choice questions regarding social, economic, operational, biological, ecological and governance characteristics of the fishery, including available data. User responses then flag key assumptions, considerations, and cautions for each option contained in the FishPath tool, which provides customized advice on the appropriateness of any option for the fishery of interest. The results section provides a guided process for narrowing down available options to a short list to be more formally considered for inclusion in a harvest strategy (Figure</w:t>
      </w:r>
      <w:r>
        <w:t xml:space="preserve"> </w:t>
      </w:r>
      <w:r>
        <w:t xml:space="preserve">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does not use an underlying model and is not a simulation or stock assessment tool. The FishPath tool does aid in the process of identifying a short list of viable options, but it does not prescribe a single, preferred option for each harvest strategy component. Rather, it encourages critical evaluation of an identified subset of options. The FishPath tool provides a standardized,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2981057"/>
            <wp:effectExtent b="0" l="0" r="0" t="0"/>
            <wp:docPr descr="Figure 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6"/>
                    <a:stretch>
                      <a:fillRect/>
                    </a:stretch>
                  </pic:blipFill>
                  <pic:spPr bwMode="auto">
                    <a:xfrm>
                      <a:off x="0" y="0"/>
                      <a:ext cx="5334000" cy="2981057"/>
                    </a:xfrm>
                    <a:prstGeom prst="rect">
                      <a:avLst/>
                    </a:prstGeom>
                    <a:noFill/>
                    <a:ln w="9525">
                      <a:noFill/>
                      <a:headEnd/>
                      <a:tailEnd/>
                    </a:ln>
                  </pic:spPr>
                </pic:pic>
              </a:graphicData>
            </a:graphic>
          </wp:inline>
        </w:drawing>
      </w:r>
    </w:p>
    <w:p>
      <w:pPr>
        <w:pStyle w:val="ImageCaption"/>
      </w:pPr>
      <w:r>
        <w:t xml:space="preserve">Figure 1: The FishPath tool at a glance.</w:t>
      </w:r>
    </w:p>
    <w:p>
      <w:pPr>
        <w:pStyle w:val="Heading2"/>
      </w:pPr>
      <w:bookmarkStart w:id="27" w:name="X9e57624a31e4dff2e8340ee30bc1830dc1f6c3c"/>
      <w:r>
        <w:t xml:space="preserve">Purpose and Intended Audience of the FishPath Tool User Guide</w:t>
      </w:r>
      <w:bookmarkEnd w:id="27"/>
    </w:p>
    <w:p>
      <w:pPr>
        <w:pStyle w:val="FirstParagraph"/>
      </w:pPr>
      <w:r>
        <w:t xml:space="preserve">The purpose of the FishPath Tool User Guide is to orient users to the FishPath tool, explain the functionality of tool features, and provide succinct guidance on how to use the FishPath tool to select and review appropriate harvest strategy options. The ultimate goal of using the FishPath Tool is to support the development of an articulated harvest strategy for use in a Fishery Management Plan (this process is outside the scope of the FishPath Tool User Guide).</w:t>
      </w:r>
    </w:p>
    <w:p>
      <w:pPr>
        <w:pStyle w:val="BodyText"/>
      </w:pPr>
      <w:r>
        <w:t xml:space="preserve">The FishPath tool is applicable in a variety of settings. Examples include: use of the FishPath tool in a facilitated, multi-stakeholder workshop setting; small expert groups; individual (</w:t>
      </w:r>
      <w:r>
        <w:t xml:space="preserve">“</w:t>
      </w:r>
      <w:r>
        <w:t xml:space="preserve">desktop</w:t>
      </w:r>
      <w:r>
        <w:t xml:space="preserve">”</w:t>
      </w:r>
      <w:r>
        <w:t xml:space="preserve">) use for harvest strategy development or review; or research related to individual components of a harvest strategy, such as selection of an assessment method or details about specific data collection or management measure options. The impact of the tool greatly depends on the context it is used, being most effective in a multi-stakeholder process and lead by experienced practitioners. The use of the tool can also be adapted to work with multi-species fisheries, multi-fleet fisheries, and in selecting current and future scenarios. Guidance on using the tool in these contexts will be incorporated into future versions of the user guide.</w:t>
      </w:r>
    </w:p>
    <w:p>
      <w:pPr>
        <w:pStyle w:val="Heading1"/>
      </w:pPr>
      <w:bookmarkStart w:id="28" w:name="starting-the-fishpath-tool"/>
      <w:r>
        <w:t xml:space="preserve">Starting the FishPath Tool</w:t>
      </w:r>
      <w:bookmarkEnd w:id="28"/>
    </w:p>
    <w:p>
      <w:pPr>
        <w:pStyle w:val="FirstParagraph"/>
      </w:pPr>
      <w:r>
        <w:t xml:space="preserve">Importantly, the FishPath tool requires a consistent internet connection to access the questionnaire, save answers, and interact with results.</w:t>
      </w:r>
    </w:p>
    <w:p>
      <w:pPr>
        <w:pStyle w:val="Heading2"/>
      </w:pPr>
      <w:bookmarkStart w:id="29" w:name="welcome-page"/>
      <w:r>
        <w:t xml:space="preserve">Welcome Page</w:t>
      </w:r>
      <w:bookmarkEnd w:id="29"/>
    </w:p>
    <w:p>
      <w:pPr>
        <w:pStyle w:val="FirstParagraph"/>
      </w:pPr>
      <w:r>
        <w:t xml:space="preserve">When a user navigates to</w:t>
      </w:r>
      <w:r>
        <w:t xml:space="preserve"> </w:t>
      </w:r>
      <w:hyperlink r:id="rId30">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w:t>
      </w:r>
      <w:r>
        <w:t xml:space="preserve">).</w:t>
      </w:r>
    </w:p>
    <w:p>
      <w:pPr>
        <w:pStyle w:val="CaptionedFigure"/>
      </w:pPr>
      <w:r>
        <w:drawing>
          <wp:inline>
            <wp:extent cx="5334000" cy="2215385"/>
            <wp:effectExtent b="0" l="0" r="0" t="0"/>
            <wp:docPr descr="Figure 2: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1"/>
                    <a:stretch>
                      <a:fillRect/>
                    </a:stretch>
                  </pic:blipFill>
                  <pic:spPr bwMode="auto">
                    <a:xfrm>
                      <a:off x="0" y="0"/>
                      <a:ext cx="5334000" cy="2215385"/>
                    </a:xfrm>
                    <a:prstGeom prst="rect">
                      <a:avLst/>
                    </a:prstGeom>
                    <a:noFill/>
                    <a:ln w="9525">
                      <a:noFill/>
                      <a:headEnd/>
                      <a:tailEnd/>
                    </a:ln>
                  </pic:spPr>
                </pic:pic>
              </a:graphicData>
            </a:graphic>
          </wp:inline>
        </w:drawing>
      </w:r>
    </w:p>
    <w:p>
      <w:pPr>
        <w:pStyle w:val="ImageCaption"/>
      </w:pPr>
      <w:r>
        <w:t xml:space="preserve">Figure 2: Welcome page of the FishPath tool.</w:t>
      </w:r>
    </w:p>
    <w:p>
      <w:pPr>
        <w:pStyle w:val="Heading2"/>
      </w:pPr>
      <w:bookmarkStart w:id="32" w:name="creating-a-fishpath-account"/>
      <w:r>
        <w:t xml:space="preserve">Creating a FishPath Account</w:t>
      </w:r>
      <w:bookmarkEnd w:id="32"/>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3</w:t>
      </w:r>
      <w:r>
        <w:t xml:space="preserve">). An asterisk denotes mandatory information.</w:t>
      </w:r>
    </w:p>
    <w:p>
      <w:pPr>
        <w:pStyle w:val="Compact"/>
        <w:numPr>
          <w:numId w:val="1001"/>
          <w:ilvl w:val="0"/>
        </w:numPr>
      </w:pPr>
      <w:r>
        <w:t xml:space="preserve">Email*</w:t>
      </w:r>
    </w:p>
    <w:p>
      <w:pPr>
        <w:pStyle w:val="Compact"/>
        <w:numPr>
          <w:numId w:val="1001"/>
          <w:ilvl w:val="0"/>
        </w:numPr>
      </w:pPr>
      <w:r>
        <w:t xml:space="preserve">Password* (create a password)</w:t>
      </w:r>
    </w:p>
    <w:p>
      <w:pPr>
        <w:pStyle w:val="Compact"/>
        <w:numPr>
          <w:numId w:val="1001"/>
          <w:ilvl w:val="0"/>
        </w:numPr>
      </w:pPr>
      <w:r>
        <w:t xml:space="preserve">Organization Type*</w:t>
      </w:r>
    </w:p>
    <w:p>
      <w:pPr>
        <w:pStyle w:val="Compact"/>
        <w:numPr>
          <w:numId w:val="1001"/>
          <w:ilvl w:val="0"/>
        </w:numPr>
      </w:pPr>
      <w:r>
        <w:t xml:space="preserve">Organization</w:t>
      </w:r>
    </w:p>
    <w:p>
      <w:pPr>
        <w:pStyle w:val="Compact"/>
        <w:numPr>
          <w:numId w:val="1001"/>
          <w:ilvl w:val="0"/>
        </w:numPr>
      </w:pPr>
      <w:r>
        <w:t xml:space="preserve">Your Name*</w:t>
      </w:r>
    </w:p>
    <w:p>
      <w:pPr>
        <w:pStyle w:val="Compact"/>
        <w:numPr>
          <w:numId w:val="1001"/>
          <w:ilvl w:val="0"/>
        </w:numPr>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852736"/>
            <wp:effectExtent b="0" l="0" r="0" t="0"/>
            <wp:docPr descr="Figure 3: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3"/>
                    <a:stretch>
                      <a:fillRect/>
                    </a:stretch>
                  </pic:blipFill>
                  <pic:spPr bwMode="auto">
                    <a:xfrm>
                      <a:off x="0" y="0"/>
                      <a:ext cx="5334000" cy="4852736"/>
                    </a:xfrm>
                    <a:prstGeom prst="rect">
                      <a:avLst/>
                    </a:prstGeom>
                    <a:noFill/>
                    <a:ln w="9525">
                      <a:noFill/>
                      <a:headEnd/>
                      <a:tailEnd/>
                    </a:ln>
                  </pic:spPr>
                </pic:pic>
              </a:graphicData>
            </a:graphic>
          </wp:inline>
        </w:drawing>
      </w:r>
    </w:p>
    <w:p>
      <w:pPr>
        <w:pStyle w:val="ImageCaption"/>
      </w:pPr>
      <w:r>
        <w:t xml:space="preserve">Figure 3:</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4</w:t>
      </w:r>
      <w:r>
        <w:t xml:space="preserve">).</w:t>
      </w:r>
    </w:p>
    <w:p>
      <w:pPr>
        <w:pStyle w:val="CaptionedFigure"/>
      </w:pPr>
      <w:r>
        <w:drawing>
          <wp:inline>
            <wp:extent cx="5334000" cy="3045957"/>
            <wp:effectExtent b="0" l="0" r="0" t="0"/>
            <wp:docPr descr="Figure 4: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4"/>
                    <a:stretch>
                      <a:fillRect/>
                    </a:stretch>
                  </pic:blipFill>
                  <pic:spPr bwMode="auto">
                    <a:xfrm>
                      <a:off x="0" y="0"/>
                      <a:ext cx="5334000" cy="3045957"/>
                    </a:xfrm>
                    <a:prstGeom prst="rect">
                      <a:avLst/>
                    </a:prstGeom>
                    <a:noFill/>
                    <a:ln w="9525">
                      <a:noFill/>
                      <a:headEnd/>
                      <a:tailEnd/>
                    </a:ln>
                  </pic:spPr>
                </pic:pic>
              </a:graphicData>
            </a:graphic>
          </wp:inline>
        </w:drawing>
      </w:r>
    </w:p>
    <w:p>
      <w:pPr>
        <w:pStyle w:val="ImageCaption"/>
      </w:pPr>
      <w:r>
        <w:t xml:space="preserve">Figure 4: Login Page of the FishPath tool.</w:t>
      </w:r>
    </w:p>
    <w:p>
      <w:pPr>
        <w:pStyle w:val="Heading2"/>
      </w:pPr>
      <w:bookmarkStart w:id="35" w:name="fishpath-tool-dashboard"/>
      <w:r>
        <w:t xml:space="preserve">FishPath Tool Dashboard</w:t>
      </w:r>
      <w:bookmarkEnd w:id="35"/>
    </w:p>
    <w:p>
      <w:pPr>
        <w:pStyle w:val="FirstParagraph"/>
      </w:pPr>
      <w:r>
        <w:t xml:space="preserve">After creating an account (new user) or logging in (existing user), the user is directed to the FishPath Tool Dashboard (Figure</w:t>
      </w:r>
      <w:r>
        <w:t xml:space="preserve"> </w:t>
      </w:r>
      <w:r>
        <w:t xml:space="preserve">5</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pStyle w:val="Compact"/>
        <w:numPr>
          <w:numId w:val="1002"/>
          <w:ilvl w:val="0"/>
        </w:numPr>
      </w:pPr>
      <w:r>
        <w:rPr>
          <w:b/>
        </w:rPr>
        <w:t xml:space="preserve">“</w:t>
      </w:r>
      <w:r>
        <w:rPr>
          <w:b/>
        </w:rPr>
        <w:t xml:space="preserve">FishPath Tool User Guide</w:t>
      </w:r>
      <w:r>
        <w:rPr>
          <w:b/>
        </w:rPr>
        <w:t xml:space="preserve">”</w:t>
      </w:r>
      <w:r>
        <w:t xml:space="preserve">, which contains detail on using the FishPath Tool and interpreting results.</w:t>
      </w:r>
    </w:p>
    <w:p>
      <w:pPr>
        <w:pStyle w:val="Compact"/>
        <w:numPr>
          <w:numId w:val="1002"/>
          <w:ilvl w:val="0"/>
        </w:numPr>
      </w:pPr>
      <w:r>
        <w:rPr>
          <w:b/>
        </w:rPr>
        <w:t xml:space="preserve">“</w:t>
      </w:r>
      <w:r>
        <w:rPr>
          <w:b/>
        </w:rPr>
        <w:t xml:space="preserve">My Fisheries</w:t>
      </w:r>
      <w:r>
        <w:rPr>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pStyle w:val="Compact"/>
        <w:numPr>
          <w:numId w:val="1002"/>
          <w:ilvl w:val="0"/>
        </w:numPr>
      </w:pPr>
      <w:r>
        <w:rPr>
          <w:b/>
        </w:rPr>
        <w:t xml:space="preserve">“</w:t>
      </w:r>
      <w:r>
        <w:rPr>
          <w:b/>
        </w:rPr>
        <w:t xml:space="preserve">Reference Materials</w:t>
      </w:r>
      <w:r>
        <w:rPr>
          <w:b/>
        </w:rPr>
        <w:t xml:space="preserve">”</w:t>
      </w:r>
      <w:r>
        <w:t xml:space="preserve">, which provides a list of all options contained in the FishPath tool with details and reference materials;</w:t>
      </w:r>
    </w:p>
    <w:p>
      <w:pPr>
        <w:pStyle w:val="Compact"/>
        <w:numPr>
          <w:numId w:val="1002"/>
          <w:ilvl w:val="0"/>
        </w:numPr>
      </w:pPr>
      <w:r>
        <w:rPr>
          <w:b/>
        </w:rPr>
        <w:t xml:space="preserve">“</w:t>
      </w:r>
      <w:r>
        <w:rPr>
          <w:b/>
        </w:rPr>
        <w:t xml:space="preserve">Help us improve the FishPath Tool</w:t>
      </w:r>
      <w:r>
        <w:rPr>
          <w:b/>
        </w:rPr>
        <w:t xml:space="preserve">”</w:t>
      </w:r>
      <w:r>
        <w:t xml:space="preserve">, which allows the user to send feedback to the FishPath team.</w:t>
      </w:r>
    </w:p>
    <w:p>
      <w:pPr>
        <w:pStyle w:val="CaptionedFigure"/>
      </w:pPr>
      <w:r>
        <w:drawing>
          <wp:inline>
            <wp:extent cx="5334000" cy="4372060"/>
            <wp:effectExtent b="0" l="0" r="0" t="0"/>
            <wp:docPr descr="Figure 5: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6"/>
                    <a:stretch>
                      <a:fillRect/>
                    </a:stretch>
                  </pic:blipFill>
                  <pic:spPr bwMode="auto">
                    <a:xfrm>
                      <a:off x="0" y="0"/>
                      <a:ext cx="5334000" cy="4372060"/>
                    </a:xfrm>
                    <a:prstGeom prst="rect">
                      <a:avLst/>
                    </a:prstGeom>
                    <a:noFill/>
                    <a:ln w="9525">
                      <a:noFill/>
                      <a:headEnd/>
                      <a:tailEnd/>
                    </a:ln>
                  </pic:spPr>
                </pic:pic>
              </a:graphicData>
            </a:graphic>
          </wp:inline>
        </w:drawing>
      </w:r>
    </w:p>
    <w:p>
      <w:pPr>
        <w:pStyle w:val="ImageCaption"/>
      </w:pPr>
      <w:r>
        <w:t xml:space="preserve">Figure 5: FishPath Tool Dashboard, or the homepage for FishPath tool users. The pop out shows the FishPath Tool Dashboard drop-down menu.</w:t>
      </w:r>
    </w:p>
    <w:p>
      <w:pPr>
        <w:pStyle w:val="BodyText"/>
      </w:pPr>
      <w:r>
        <w:t xml:space="preserve">When a user clicks the</w:t>
      </w:r>
      <w:r>
        <w:t xml:space="preserve"> </w:t>
      </w:r>
      <w:r>
        <w:t xml:space="preserve">“</w:t>
      </w:r>
      <w:r>
        <w:t xml:space="preserve">FishPath Tool</w:t>
      </w:r>
      <w:r>
        <w:t xml:space="preserve">”</w:t>
      </w:r>
      <w:r>
        <w:t xml:space="preserve"> </w:t>
      </w:r>
      <w:r>
        <w:t xml:space="preserve">menu in the top left corner, a drop-down display allows the user to navigate to various options (Figure</w:t>
      </w:r>
      <w:r>
        <w:t xml:space="preserve"> </w:t>
      </w:r>
      <w:r>
        <w:t xml:space="preserve">5</w:t>
      </w:r>
      <w:r>
        <w:t xml:space="preserve">). The</w:t>
      </w:r>
      <w:r>
        <w:t xml:space="preserve"> </w:t>
      </w:r>
      <w:r>
        <w:t xml:space="preserve">“</w:t>
      </w:r>
      <w:r>
        <w:t xml:space="preserve">Reference Materials</w:t>
      </w:r>
      <w:r>
        <w:t xml:space="preserve">”</w:t>
      </w:r>
      <w:r>
        <w:t xml:space="preserve"> </w:t>
      </w:r>
      <w:r>
        <w:t xml:space="preserve">tab displays all of the options contained in the FishPath Tool.</w:t>
      </w:r>
    </w:p>
    <w:p>
      <w:pPr>
        <w:pStyle w:val="Heading2"/>
      </w:pPr>
      <w:bookmarkStart w:id="37" w:name="adding-a-new-fishery"/>
      <w:r>
        <w:t xml:space="preserve">Adding a New Fishery</w:t>
      </w:r>
      <w:bookmarkEnd w:id="37"/>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First,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6</w:t>
      </w:r>
      <w:r>
        <w:t xml:space="preserve">), using the fields below. This information is used to better understand the use of the FishPath tool, provide high-level aggregate information about fishery characteristics, and to help users define the fishery to which they will be applying FishPath, so that answers will be directed at that fishery only.</w:t>
      </w:r>
    </w:p>
    <w:p>
      <w:pPr>
        <w:pStyle w:val="Compact"/>
        <w:numPr>
          <w:numId w:val="1003"/>
          <w:ilvl w:val="0"/>
        </w:numPr>
      </w:pPr>
      <w:r>
        <w:t xml:space="preserve">Fishery Common Name(s):</w:t>
      </w:r>
    </w:p>
    <w:p>
      <w:pPr>
        <w:pStyle w:val="Compact"/>
        <w:numPr>
          <w:numId w:val="1003"/>
          <w:ilvl w:val="0"/>
        </w:numPr>
      </w:pPr>
      <w:r>
        <w:t xml:space="preserve">Genus species:</w:t>
      </w:r>
    </w:p>
    <w:p>
      <w:pPr>
        <w:pStyle w:val="Compact"/>
        <w:numPr>
          <w:numId w:val="1003"/>
          <w:ilvl w:val="0"/>
        </w:numPr>
      </w:pPr>
      <w:r>
        <w:t xml:space="preserve">Fleet and Gear Type(s):</w:t>
      </w:r>
    </w:p>
    <w:p>
      <w:pPr>
        <w:pStyle w:val="Compact"/>
        <w:numPr>
          <w:numId w:val="1003"/>
          <w:ilvl w:val="0"/>
        </w:numPr>
      </w:pPr>
      <w:r>
        <w:t xml:space="preserve">Country or Countries:</w:t>
      </w:r>
    </w:p>
    <w:p>
      <w:pPr>
        <w:pStyle w:val="Compact"/>
        <w:numPr>
          <w:numId w:val="1003"/>
          <w:ilvl w:val="0"/>
        </w:numPr>
      </w:pPr>
      <w:r>
        <w:t xml:space="preserve">Geographic Area of the Fishery:</w:t>
      </w:r>
    </w:p>
    <w:p>
      <w:pPr>
        <w:pStyle w:val="Compact"/>
        <w:numPr>
          <w:numId w:val="1003"/>
          <w:ilvl w:val="0"/>
        </w:numPr>
      </w:pPr>
      <w:r>
        <w:t xml:space="preserve">In which of these 3 contexts is the FishPath Tool being used for this fishery?</w:t>
      </w:r>
    </w:p>
    <w:p>
      <w:pPr>
        <w:pStyle w:val="Compact"/>
        <w:numPr>
          <w:numId w:val="1004"/>
          <w:ilvl w:val="1"/>
        </w:numPr>
      </w:pPr>
      <w:r>
        <w:t xml:space="preserve">Exploratory test run</w:t>
      </w:r>
      <w:r>
        <w:br/>
      </w:r>
    </w:p>
    <w:p>
      <w:pPr>
        <w:pStyle w:val="Compact"/>
        <w:numPr>
          <w:numId w:val="1004"/>
          <w:ilvl w:val="1"/>
        </w:numPr>
      </w:pPr>
      <w:r>
        <w:t xml:space="preserve">Facilitated workshop for specific fishery</w:t>
      </w:r>
    </w:p>
    <w:p>
      <w:pPr>
        <w:pStyle w:val="Compact"/>
        <w:numPr>
          <w:numId w:val="1004"/>
          <w:ilvl w:val="1"/>
        </w:numPr>
      </w:pPr>
      <w:r>
        <w:t xml:space="preserve">Individual use for specific fishery</w:t>
      </w:r>
    </w:p>
    <w:p>
      <w:pPr>
        <w:pStyle w:val="CaptionedFigure"/>
      </w:pPr>
      <w:r>
        <w:drawing>
          <wp:inline>
            <wp:extent cx="5334000" cy="3829538"/>
            <wp:effectExtent b="0" l="0" r="0" t="0"/>
            <wp:docPr descr="Figure 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38"/>
                    <a:stretch>
                      <a:fillRect/>
                    </a:stretch>
                  </pic:blipFill>
                  <pic:spPr bwMode="auto">
                    <a:xfrm>
                      <a:off x="0" y="0"/>
                      <a:ext cx="5334000" cy="3829538"/>
                    </a:xfrm>
                    <a:prstGeom prst="rect">
                      <a:avLst/>
                    </a:prstGeom>
                    <a:noFill/>
                    <a:ln w="9525">
                      <a:noFill/>
                      <a:headEnd/>
                      <a:tailEnd/>
                    </a:ln>
                  </pic:spPr>
                </pic:pic>
              </a:graphicData>
            </a:graphic>
          </wp:inline>
        </w:drawing>
      </w:r>
    </w:p>
    <w:p>
      <w:pPr>
        <w:pStyle w:val="ImageCaption"/>
      </w:pPr>
      <w:r>
        <w:t xml:space="preserve">Figure 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7</w:t>
      </w:r>
      <w:r>
        <w:t xml:space="preserve">). Users can complete and review results from these sections independently. A pencil in the upper-right corner allows users to edit the fishery information (input in Figure</w:t>
      </w:r>
      <w:r>
        <w:t xml:space="preserve"> </w:t>
      </w:r>
      <w:r>
        <w:t xml:space="preserve">7</w:t>
      </w:r>
      <w:r>
        <w:t xml:space="preserve">) at any time.</w:t>
      </w:r>
    </w:p>
    <w:p>
      <w:pPr>
        <w:pStyle w:val="CaptionedFigure"/>
      </w:pPr>
      <w:r>
        <w:drawing>
          <wp:inline>
            <wp:extent cx="5334000" cy="3388028"/>
            <wp:effectExtent b="0" l="0" r="0" t="0"/>
            <wp:docPr descr="Figure 7: Entry screen to the FishPath tool questionnaire after fishery information has been defined."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39"/>
                    <a:stretch>
                      <a:fillRect/>
                    </a:stretch>
                  </pic:blipFill>
                  <pic:spPr bwMode="auto">
                    <a:xfrm>
                      <a:off x="0" y="0"/>
                      <a:ext cx="5334000" cy="3388028"/>
                    </a:xfrm>
                    <a:prstGeom prst="rect">
                      <a:avLst/>
                    </a:prstGeom>
                    <a:noFill/>
                    <a:ln w="9525">
                      <a:noFill/>
                      <a:headEnd/>
                      <a:tailEnd/>
                    </a:ln>
                  </pic:spPr>
                </pic:pic>
              </a:graphicData>
            </a:graphic>
          </wp:inline>
        </w:drawing>
      </w:r>
    </w:p>
    <w:p>
      <w:pPr>
        <w:pStyle w:val="ImageCaption"/>
      </w:pPr>
      <w:r>
        <w:t xml:space="preserve">Figure 7: Entry screen to the FishPath tool questionnaire after fishery information has been defined.</w:t>
      </w:r>
    </w:p>
    <w:p>
      <w:pPr>
        <w:pStyle w:val="Heading1"/>
      </w:pPr>
      <w:bookmarkStart w:id="40" w:name="fishpath-tool-questionnaire"/>
      <w:r>
        <w:t xml:space="preserve">FishPath Tool Questionnaire</w:t>
      </w:r>
      <w:bookmarkEnd w:id="40"/>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pStyle w:val="Compact"/>
        <w:numPr>
          <w:numId w:val="1005"/>
          <w:ilvl w:val="0"/>
        </w:numPr>
      </w:pPr>
      <w:r>
        <w:t xml:space="preserve">Biology/Life History</w:t>
      </w:r>
    </w:p>
    <w:p>
      <w:pPr>
        <w:pStyle w:val="Compact"/>
        <w:numPr>
          <w:numId w:val="1005"/>
          <w:ilvl w:val="0"/>
        </w:numPr>
      </w:pPr>
      <w:r>
        <w:t xml:space="preserve">Data Availability</w:t>
      </w:r>
    </w:p>
    <w:p>
      <w:pPr>
        <w:pStyle w:val="Compact"/>
        <w:numPr>
          <w:numId w:val="1005"/>
          <w:ilvl w:val="0"/>
        </w:numPr>
      </w:pPr>
      <w:r>
        <w:t xml:space="preserve">Governance</w:t>
      </w:r>
    </w:p>
    <w:p>
      <w:pPr>
        <w:pStyle w:val="Compact"/>
        <w:numPr>
          <w:numId w:val="1005"/>
          <w:ilvl w:val="0"/>
        </w:numPr>
      </w:pPr>
      <w:r>
        <w:t xml:space="preserve">Management</w:t>
      </w:r>
    </w:p>
    <w:p>
      <w:pPr>
        <w:pStyle w:val="Compact"/>
        <w:numPr>
          <w:numId w:val="1005"/>
          <w:ilvl w:val="0"/>
        </w:numPr>
      </w:pPr>
      <w:r>
        <w:t xml:space="preserve">Operational Characteristics</w:t>
      </w:r>
    </w:p>
    <w:p>
      <w:pPr>
        <w:pStyle w:val="Compact"/>
        <w:numPr>
          <w:numId w:val="1005"/>
          <w:ilvl w:val="0"/>
        </w:numPr>
      </w:pPr>
      <w:r>
        <w:t xml:space="preserve">Socio-Economic</w:t>
      </w:r>
    </w:p>
    <w:p>
      <w:pPr>
        <w:pStyle w:val="FirstParagraph"/>
      </w:pPr>
      <w:r>
        <w:t xml:space="preserve">Some questions span multiple sections of the questionnaire (i.e. they are relevant in considering multiple components of a harvest strategy). To avoid duplicity, such questions, once answered, will show as completed when beginning any subsequent section in which they occur.</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Any submitted answers will be saved with a consistent internet connection. Once the user has completed an individual section, which may only be achieved by providing responses to all questions in that section, the user may either complete a subsequent section or view results from the completed section. Results for any section become available once the user has completed the respective questionnaire. The questionnaire is periodically updated by the FishPath team to reflect the latest fisheries science, so users may need to answer any new questions when returning to a fishery before reviewing results of associated sections.</w:t>
      </w:r>
    </w:p>
    <w:p>
      <w:pPr>
        <w:pStyle w:val="BodyText"/>
      </w:pPr>
      <w:r>
        <w:t xml:space="preserve">After viewing the entry screen to the FishPath questionnaire (Figure</w:t>
      </w:r>
      <w:r>
        <w:t xml:space="preserve"> </w:t>
      </w:r>
      <w:r>
        <w:t xml:space="preserve">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8</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714755"/>
            <wp:effectExtent b="0" l="0" r="0" t="0"/>
            <wp:docPr descr="Figure 8: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1"/>
                    <a:stretch>
                      <a:fillRect/>
                    </a:stretch>
                  </pic:blipFill>
                  <pic:spPr bwMode="auto">
                    <a:xfrm>
                      <a:off x="0" y="0"/>
                      <a:ext cx="5334000" cy="1714755"/>
                    </a:xfrm>
                    <a:prstGeom prst="rect">
                      <a:avLst/>
                    </a:prstGeom>
                    <a:noFill/>
                    <a:ln w="9525">
                      <a:noFill/>
                      <a:headEnd/>
                      <a:tailEnd/>
                    </a:ln>
                  </pic:spPr>
                </pic:pic>
              </a:graphicData>
            </a:graphic>
          </wp:inline>
        </w:drawing>
      </w:r>
    </w:p>
    <w:p>
      <w:pPr>
        <w:pStyle w:val="ImageCaption"/>
      </w:pPr>
      <w:r>
        <w:t xml:space="preserve">Figure 8: Data Collection section overview.</w:t>
      </w:r>
    </w:p>
    <w:p>
      <w:pPr>
        <w:pStyle w:val="Heading2"/>
      </w:pPr>
      <w:bookmarkStart w:id="42" w:name="criteria-and-caveat-questions"/>
      <w:r>
        <w:t xml:space="preserve">Criteria and Caveat Questions</w:t>
      </w:r>
      <w:bookmarkEnd w:id="42"/>
    </w:p>
    <w:p>
      <w:pPr>
        <w:pStyle w:val="FirstParagraph"/>
      </w:pPr>
      <w:r>
        <w:t xml:space="preserve">In the FishPath tool, 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FishPath.</w:t>
      </w:r>
    </w:p>
    <w:p>
      <w:pPr>
        <w:pStyle w:val="BodyText"/>
      </w:pPr>
      <w:r>
        <w:t xml:space="preserve">A Criterion question is used to determine whether the fishery meets a minimum qualification required to apply an option. Whether the fishery meets the minimum (or often multiple) criteria for each option is indicated in the results window (see Results sections below). For example, in the</w:t>
      </w:r>
      <w:r>
        <w:t xml:space="preserve"> </w:t>
      </w:r>
      <w:r>
        <w:t xml:space="preserve">“</w:t>
      </w:r>
      <w:r>
        <w:t xml:space="preserve">Assessment</w:t>
      </w:r>
      <w:r>
        <w:t xml:space="preserve">”</w:t>
      </w:r>
      <w:r>
        <w:t xml:space="preserve"> </w:t>
      </w:r>
      <w:r>
        <w:t xml:space="preserve">section of the questionnaire, there are questions about data quality, quantity, and data type for the fishery, which correspond to the minimum levels required to enable each type of assessment method. Upon answering a</w:t>
      </w:r>
      <w:r>
        <w:t xml:space="preserve"> </w:t>
      </w:r>
      <w:r>
        <w:t xml:space="preserve">“</w:t>
      </w:r>
      <w:r>
        <w:t xml:space="preserve">criteria question</w:t>
      </w:r>
      <w:r>
        <w:t xml:space="preserve">”</w:t>
      </w:r>
      <w:r>
        <w:t xml:space="preserve"> </w:t>
      </w:r>
      <w:r>
        <w:t xml:space="preserve">about, for example, fishing effort data, within the Assessment section (Figure</w:t>
      </w:r>
      <w:r>
        <w:t xml:space="preserve"> </w:t>
      </w:r>
      <w:r>
        <w:t xml:space="preserve">9</w:t>
      </w:r>
      <w:r>
        <w:t xml:space="preserve">), the fishery will be scored in the results section according to whether it meets that particular minimum level of effort data required by particular assessment options. The Results section reports not only whether or not each criterion is met, but also gives an indication, via subjectively assigned traffic light color scales, as to the degree the criteria is met, and provides guidance as to the level of uncertainty associated with that particular required input. Criteria questions are not included in the</w:t>
      </w:r>
      <w:r>
        <w:t xml:space="preserve"> </w:t>
      </w:r>
      <w:r>
        <w:t xml:space="preserve">“</w:t>
      </w:r>
      <w:r>
        <w:t xml:space="preserve">Management Measures</w:t>
      </w:r>
      <w:r>
        <w:t xml:space="preserve">”</w:t>
      </w:r>
      <w:r>
        <w:t xml:space="preserve"> </w:t>
      </w:r>
      <w:r>
        <w:t xml:space="preserve">section. While a management measure option may be ill-advised because it violates assumptions (i.e,</w:t>
      </w:r>
      <w:r>
        <w:t xml:space="preserve"> </w:t>
      </w:r>
      <w:r>
        <w:t xml:space="preserve">“</w:t>
      </w:r>
      <w:r>
        <w:t xml:space="preserve">caveats</w:t>
      </w:r>
      <w:r>
        <w:t xml:space="preserve">”</w:t>
      </w:r>
      <w:r>
        <w:t xml:space="preserve">), there are no prohibiting factors that would prevent any single option being implemented, if so desired. Conversely, one cannot undertake certain assessments or forms of data collection without meeting minimum requirements.</w:t>
      </w:r>
    </w:p>
    <w:p>
      <w:pPr>
        <w:pStyle w:val="BodyText"/>
      </w:pPr>
      <w:r>
        <w:t xml:space="preserve">Questions whose responses invoke</w:t>
      </w:r>
      <w:r>
        <w:t xml:space="preserve"> </w:t>
      </w:r>
      <w:r>
        <w:t xml:space="preserve">“</w:t>
      </w:r>
      <w:r>
        <w:t xml:space="preserve">caveats</w:t>
      </w:r>
      <w:r>
        <w:t xml:space="preserve">”</w:t>
      </w:r>
      <w:r>
        <w:t xml:space="preserve"> </w:t>
      </w:r>
      <w:r>
        <w:t xml:space="preserve">will not eliminate or retain options, but rather invoke subjectively assigned traffic light-colored warnings, or positive attributes, against specific options. These are intended to speak to issues that do not necessarily prohibit the option’s feasibility, but that should be given explicit consideration, and the ability to address each should be determined, before deeming the option is best suited to the fishery. As with the criteria questions, these are presented in the results section of the FishPath tool with explanatory text.</w:t>
      </w:r>
    </w:p>
    <w:p>
      <w:pPr>
        <w:pStyle w:val="CaptionedFigure"/>
      </w:pPr>
      <w:r>
        <w:drawing>
          <wp:inline>
            <wp:extent cx="5334000" cy="3811531"/>
            <wp:effectExtent b="0" l="0" r="0" t="0"/>
            <wp:docPr descr="Figure 9: Example “criteria” question in the Assessment section of the FishPath Questionnaire." title="" id="1" name="Picture"/>
            <a:graphic>
              <a:graphicData uri="http://schemas.openxmlformats.org/drawingml/2006/picture">
                <pic:pic>
                  <pic:nvPicPr>
                    <pic:cNvPr descr="images/ex-crit-question.png" id="0" name="Picture"/>
                    <pic:cNvPicPr>
                      <a:picLocks noChangeArrowheads="1" noChangeAspect="1"/>
                    </pic:cNvPicPr>
                  </pic:nvPicPr>
                  <pic:blipFill>
                    <a:blip r:embed="rId43"/>
                    <a:stretch>
                      <a:fillRect/>
                    </a:stretch>
                  </pic:blipFill>
                  <pic:spPr bwMode="auto">
                    <a:xfrm>
                      <a:off x="0" y="0"/>
                      <a:ext cx="5334000" cy="3811531"/>
                    </a:xfrm>
                    <a:prstGeom prst="rect">
                      <a:avLst/>
                    </a:prstGeom>
                    <a:noFill/>
                    <a:ln w="9525">
                      <a:noFill/>
                      <a:headEnd/>
                      <a:tailEnd/>
                    </a:ln>
                  </pic:spPr>
                </pic:pic>
              </a:graphicData>
            </a:graphic>
          </wp:inline>
        </w:drawing>
      </w:r>
    </w:p>
    <w:p>
      <w:pPr>
        <w:pStyle w:val="ImageCaption"/>
      </w:pPr>
      <w:r>
        <w:t xml:space="preserve">Figure 9: Example</w:t>
      </w:r>
      <w:r>
        <w:t xml:space="preserve"> </w:t>
      </w:r>
      <w:r>
        <w:t xml:space="preserve">“</w:t>
      </w:r>
      <w:r>
        <w:t xml:space="preserve">criteria</w:t>
      </w:r>
      <w:r>
        <w:t xml:space="preserve">”</w:t>
      </w:r>
      <w:r>
        <w:t xml:space="preserve"> </w:t>
      </w:r>
      <w:r>
        <w:t xml:space="preserve">question in the Assessment section of the FishPath Questionnaire.</w:t>
      </w:r>
    </w:p>
    <w:p>
      <w:pPr>
        <w:pStyle w:val="Heading2"/>
      </w:pPr>
      <w:bookmarkStart w:id="44" w:name="anatomy-of-a-fishpath-tool-question"/>
      <w:r>
        <w:t xml:space="preserve">Anatomy of a FishPath Tool Question</w:t>
      </w:r>
      <w:bookmarkEnd w:id="44"/>
    </w:p>
    <w:p>
      <w:pPr>
        <w:pStyle w:val="FirstParagraph"/>
      </w:pPr>
      <w:r>
        <w:t xml:space="preserve">(Figure</w:t>
      </w:r>
      <w:r>
        <w:t xml:space="preserve"> </w:t>
      </w:r>
      <w:r>
        <w:t xml:space="preserve">10</w:t>
      </w:r>
      <w:r>
        <w:t xml:space="preserve">) provides an example of a FishPath question screen:</w:t>
      </w:r>
    </w:p>
    <w:p>
      <w:pPr>
        <w:pStyle w:val="Compact"/>
        <w:numPr>
          <w:numId w:val="1006"/>
          <w:ilvl w:val="0"/>
        </w:numPr>
      </w:pPr>
      <w:r>
        <w:t xml:space="preserve">At the top of the screen, the</w:t>
      </w:r>
      <w:r>
        <w:t xml:space="preserve"> </w:t>
      </w:r>
      <w:r>
        <w:rPr>
          <w:b/>
        </w:rPr>
        <w:t xml:space="preserve">section</w:t>
      </w:r>
      <w:r>
        <w:t xml:space="preserve"> </w:t>
      </w:r>
      <w:r>
        <w:t xml:space="preserve">is shown (either Data Collection, Assessments, or Management Measures).</w:t>
      </w:r>
    </w:p>
    <w:p>
      <w:pPr>
        <w:pStyle w:val="Compact"/>
        <w:numPr>
          <w:numId w:val="1006"/>
          <w:ilvl w:val="0"/>
        </w:numPr>
      </w:pPr>
      <w:r>
        <w:t xml:space="preserve">The section is followed by the</w:t>
      </w:r>
      <w:r>
        <w:t xml:space="preserve"> </w:t>
      </w:r>
      <w:r>
        <w:rPr>
          <w:b/>
        </w:rPr>
        <w:t xml:space="preserve">question category</w:t>
      </w:r>
      <w:r>
        <w:t xml:space="preserve"> </w:t>
      </w:r>
      <w:r>
        <w:t xml:space="preserve">(i.e., Biology/Life History, Data Availability, Governance, Management, Operational Characteristics, or Socio-Economic).</w:t>
      </w:r>
    </w:p>
    <w:p>
      <w:pPr>
        <w:pStyle w:val="Compact"/>
        <w:numPr>
          <w:numId w:val="1006"/>
          <w:ilvl w:val="0"/>
        </w:numPr>
      </w:pPr>
      <w:r>
        <w:t xml:space="preserve">A sub-heading identifies whether the question is a</w:t>
      </w:r>
      <w:r>
        <w:t xml:space="preserve"> </w:t>
      </w:r>
      <w:r>
        <w:rPr>
          <w:b/>
        </w:rPr>
        <w:t xml:space="preserve">“</w:t>
      </w:r>
      <w:r>
        <w:rPr>
          <w:b/>
        </w:rPr>
        <w:t xml:space="preserve">criteria</w:t>
      </w:r>
      <w:r>
        <w:rPr>
          <w:b/>
        </w:rPr>
        <w:t xml:space="preserve">”</w:t>
      </w:r>
      <w:r>
        <w:rPr>
          <w:b/>
        </w:rPr>
        <w:t xml:space="preserve"> </w:t>
      </w:r>
      <w:r>
        <w:rPr>
          <w:b/>
        </w:rPr>
        <w:t xml:space="preserve">or a</w:t>
      </w:r>
      <w:r>
        <w:rPr>
          <w:b/>
        </w:rPr>
        <w:t xml:space="preserve"> </w:t>
      </w:r>
      <w:r>
        <w:rPr>
          <w:b/>
        </w:rPr>
        <w:t xml:space="preserve">“</w:t>
      </w:r>
      <w:r>
        <w:rPr>
          <w:b/>
        </w:rPr>
        <w:t xml:space="preserve">caveat</w:t>
      </w:r>
      <w:r>
        <w:rPr>
          <w:b/>
        </w:rPr>
        <w:t xml:space="preserve">”</w:t>
      </w:r>
      <w:r>
        <w:t xml:space="preserve"> </w:t>
      </w:r>
      <w:r>
        <w:t xml:space="preserve">question.</w:t>
      </w:r>
    </w:p>
    <w:p>
      <w:pPr>
        <w:pStyle w:val="Compact"/>
        <w:numPr>
          <w:numId w:val="1006"/>
          <w:ilvl w:val="0"/>
        </w:numPr>
      </w:pPr>
      <w:r>
        <w:t xml:space="preserve">The sub-heading also indicates the</w:t>
      </w:r>
      <w:r>
        <w:t xml:space="preserve"> </w:t>
      </w:r>
      <w:r>
        <w:rPr>
          <w:b/>
        </w:rPr>
        <w:t xml:space="preserve">number of questions answered</w:t>
      </w:r>
      <w:r>
        <w:t xml:space="preserve"> </w:t>
      </w:r>
      <w:r>
        <w:t xml:space="preserve">and remaining within that section.</w:t>
      </w:r>
    </w:p>
    <w:p>
      <w:pPr>
        <w:pStyle w:val="Compact"/>
        <w:numPr>
          <w:numId w:val="1006"/>
          <w:ilvl w:val="0"/>
        </w:numPr>
      </w:pPr>
      <w:r>
        <w:t xml:space="preserve">For the Data Collection section only, it is also stated whether the question pertains to either issues of</w:t>
      </w:r>
      <w:r>
        <w:t xml:space="preserve"> </w:t>
      </w:r>
      <w:r>
        <w:rPr>
          <w:b/>
        </w:rPr>
        <w:t xml:space="preserve">“</w:t>
      </w:r>
      <w:r>
        <w:rPr>
          <w:b/>
        </w:rPr>
        <w:t xml:space="preserve">representation</w:t>
      </w:r>
      <w:r>
        <w:rPr>
          <w:b/>
        </w:rPr>
        <w:t xml:space="preserve">”</w:t>
      </w:r>
      <w:r>
        <w:rPr>
          <w:b/>
        </w:rPr>
        <w:t xml:space="preserve"> </w:t>
      </w:r>
      <w:r>
        <w:rPr>
          <w:b/>
        </w:rPr>
        <w:t xml:space="preserve">or</w:t>
      </w:r>
      <w:r>
        <w:rPr>
          <w:b/>
        </w:rPr>
        <w:t xml:space="preserve"> </w:t>
      </w:r>
      <w:r>
        <w:rPr>
          <w:b/>
        </w:rPr>
        <w:t xml:space="preserve">“</w:t>
      </w:r>
      <w:r>
        <w:rPr>
          <w:b/>
        </w:rPr>
        <w:t xml:space="preserve">implementation</w:t>
      </w:r>
      <w:r>
        <w:rPr>
          <w:b/>
        </w:rPr>
        <w:t xml:space="preserve">”</w:t>
      </w:r>
      <w:r>
        <w:t xml:space="preserve">. This helps users to understand the intent of the question, by identifying whether the question has ramifications for the form of data collection in terms of its either ability to obtain representative data, or in its ability to be effectively implemented.</w:t>
      </w:r>
    </w:p>
    <w:p>
      <w:pPr>
        <w:pStyle w:val="Compact"/>
        <w:numPr>
          <w:numId w:val="1006"/>
          <w:ilvl w:val="0"/>
        </w:numPr>
      </w:pPr>
      <w:r>
        <w:t xml:space="preserve">There is the ability to</w:t>
      </w:r>
      <w:r>
        <w:t xml:space="preserve"> </w:t>
      </w:r>
      <w:r>
        <w:rPr>
          <w:b/>
        </w:rPr>
        <w:t xml:space="preserve">“</w:t>
      </w:r>
      <w:r>
        <w:rPr>
          <w:b/>
        </w:rPr>
        <w:t xml:space="preserve">Bookmark</w:t>
      </w:r>
      <w:r>
        <w:rPr>
          <w:b/>
        </w:rPr>
        <w:t xml:space="preserve">”</w:t>
      </w:r>
      <w:r>
        <w:t xml:space="preserve"> </w:t>
      </w:r>
      <w:r>
        <w:t xml:space="preserve">the question. A bookmark flags questions for ease of later revisiting (Figure</w:t>
      </w:r>
      <w:r>
        <w:t xml:space="preserve"> </w:t>
      </w:r>
      <w:r>
        <w:t xml:space="preserve">11</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pStyle w:val="Compact"/>
        <w:numPr>
          <w:numId w:val="1006"/>
          <w:ilvl w:val="0"/>
        </w:numPr>
      </w:pPr>
      <w:r>
        <w:t xml:space="preserve">Users can</w:t>
      </w:r>
      <w:r>
        <w:t xml:space="preserve"> </w:t>
      </w:r>
      <w:r>
        <w:rPr>
          <w:b/>
        </w:rPr>
        <w:t xml:space="preserve">“</w:t>
      </w:r>
      <w:r>
        <w:rPr>
          <w:b/>
        </w:rPr>
        <w:t xml:space="preserve">Take A Note</w:t>
      </w:r>
      <w:r>
        <w:rPr>
          <w:b/>
        </w:rPr>
        <w:t xml:space="preserve">”</w:t>
      </w:r>
      <w:r>
        <w:t xml:space="preserve"> </w:t>
      </w:r>
      <w:r>
        <w:t xml:space="preserve">on a question (Figure</w:t>
      </w:r>
      <w:r>
        <w:t xml:space="preserve"> </w:t>
      </w:r>
      <w:r>
        <w:t xml:space="preserve">11</w:t>
      </w:r>
      <w:r>
        <w:t xml:space="preserve">). Notes can be taken for a variety of reasons such as to clarify why a certain response was given, to capture important discussion had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FishPath and available to the user for reference.</w:t>
      </w:r>
    </w:p>
    <w:p>
      <w:pPr>
        <w:pStyle w:val="Compact"/>
        <w:numPr>
          <w:numId w:val="1006"/>
          <w:ilvl w:val="0"/>
        </w:numPr>
      </w:pPr>
      <w:r>
        <w:t xml:space="preserve">At the bottom of the screen, the user may advance to the</w:t>
      </w:r>
      <w:r>
        <w:t xml:space="preserve"> </w:t>
      </w:r>
      <w:r>
        <w:rPr>
          <w:b/>
        </w:rPr>
        <w:t xml:space="preserve">next question</w:t>
      </w:r>
      <w:r>
        <w:t xml:space="preserve"> </w:t>
      </w:r>
      <w:r>
        <w:t xml:space="preserve">or return to the</w:t>
      </w:r>
      <w:r>
        <w:t xml:space="preserve"> </w:t>
      </w:r>
      <w:r>
        <w:rPr>
          <w:b/>
        </w:rPr>
        <w:t xml:space="preserve">previous</w:t>
      </w:r>
      <w:r>
        <w:t xml:space="preserve"> </w:t>
      </w:r>
      <w:r>
        <w:t xml:space="preserve">question.</w:t>
      </w:r>
    </w:p>
    <w:p>
      <w:pPr>
        <w:pStyle w:val="CaptionedFigure"/>
      </w:pPr>
      <w:r>
        <w:drawing>
          <wp:inline>
            <wp:extent cx="5334000" cy="2997316"/>
            <wp:effectExtent b="0" l="0" r="0" t="0"/>
            <wp:docPr descr="Figure 10: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5"/>
                    <a:stretch>
                      <a:fillRect/>
                    </a:stretch>
                  </pic:blipFill>
                  <pic:spPr bwMode="auto">
                    <a:xfrm>
                      <a:off x="0" y="0"/>
                      <a:ext cx="5334000" cy="2997316"/>
                    </a:xfrm>
                    <a:prstGeom prst="rect">
                      <a:avLst/>
                    </a:prstGeom>
                    <a:noFill/>
                    <a:ln w="9525">
                      <a:noFill/>
                      <a:headEnd/>
                      <a:tailEnd/>
                    </a:ln>
                  </pic:spPr>
                </pic:pic>
              </a:graphicData>
            </a:graphic>
          </wp:inline>
        </w:drawing>
      </w:r>
    </w:p>
    <w:p>
      <w:pPr>
        <w:pStyle w:val="ImageCaption"/>
      </w:pPr>
      <w:r>
        <w:t xml:space="preserve">Figure 10: Anatomy of a FishPath tool question.</w:t>
      </w:r>
    </w:p>
    <w:p>
      <w:pPr>
        <w:pStyle w:val="CaptionedFigure"/>
      </w:pPr>
      <w:r>
        <w:drawing>
          <wp:inline>
            <wp:extent cx="5334000" cy="3859338"/>
            <wp:effectExtent b="0" l="0" r="0" t="0"/>
            <wp:docPr descr="Figure 11: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6"/>
                    <a:stretch>
                      <a:fillRect/>
                    </a:stretch>
                  </pic:blipFill>
                  <pic:spPr bwMode="auto">
                    <a:xfrm>
                      <a:off x="0" y="0"/>
                      <a:ext cx="5334000" cy="3859338"/>
                    </a:xfrm>
                    <a:prstGeom prst="rect">
                      <a:avLst/>
                    </a:prstGeom>
                    <a:noFill/>
                    <a:ln w="9525">
                      <a:noFill/>
                      <a:headEnd/>
                      <a:tailEnd/>
                    </a:ln>
                  </pic:spPr>
                </pic:pic>
              </a:graphicData>
            </a:graphic>
          </wp:inline>
        </w:drawing>
      </w:r>
    </w:p>
    <w:p>
      <w:pPr>
        <w:pStyle w:val="ImageCaption"/>
      </w:pPr>
      <w:r>
        <w:t xml:space="preserve">Figure 11: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p>
      <w:pPr>
        <w:pStyle w:val="Heading2"/>
      </w:pPr>
      <w:bookmarkStart w:id="47" w:name="subjective-questions"/>
      <w:r>
        <w:t xml:space="preserve">Subjective Questions</w:t>
      </w:r>
      <w:bookmarkEnd w:id="47"/>
    </w:p>
    <w:p>
      <w:pPr>
        <w:pStyle w:val="FirstParagraph"/>
      </w:pPr>
      <w:r>
        <w:t xml:space="preserve">While the majority of questions within FishPath are intended to be answered definitively (objective), certain questions are subjective in nature. The latter typically request a user response in the form of a perceived ranking (e.g.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Most such questions invoke caveats and, when all caveats are considered together, the relative impact of those invoked by subjective questions can be evaluated. In this way, priority can be assigned to whether the response requires further consideration and debate, or whether it is of little relative significance in determining the most viable harvest strategy options. Further discussion can then be focused on the most appropriate issues.</w:t>
      </w:r>
    </w:p>
    <w:p>
      <w:pPr>
        <w:pStyle w:val="BodyText"/>
      </w:pPr>
      <w:r>
        <w:t xml:space="preserve">Generally, the best approach to take when completing the questionnaire is to aim to do so relatively efficiently, without overtly laboring or debating over any one question. If in doubt, the question can be bookmarked, and notes can be taken, for easy revisiting later. The transparency of the FishPath tool is such that users will be able to see explicitly how their response to any one question influences the results (by invoking criteria or caveats), and to readily change their answer if so desired. Moreover, the aim of the questionnaire is to obtain an overall profile of the fishery’s characteristics, so as best to inform the choice of harvest strategy option. As such, questions may pertain to only a few options, or they may not invoke strong caveats. The goal is to appraise the fishery as a whole, as opposed to focusing on any single question.</w:t>
      </w:r>
    </w:p>
    <w:p>
      <w:pPr>
        <w:pStyle w:val="Heading2"/>
      </w:pPr>
      <w:bookmarkStart w:id="48" w:name="completing-the-questionnaire"/>
      <w:r>
        <w:t xml:space="preserve">Completing the Questionnaire</w:t>
      </w:r>
      <w:bookmarkEnd w:id="48"/>
    </w:p>
    <w:p>
      <w:pPr>
        <w:pStyle w:val="FirstParagraph"/>
      </w:pPr>
      <w:r>
        <w:t xml:space="preserve">Upon completing or exiting any of the three sections, a summary screen appears with the status of relative completion. Users review their result for completed sections, or otherwise continue the questionnaire (Figure</w:t>
      </w:r>
      <w:r>
        <w:t xml:space="preserve"> </w:t>
      </w:r>
      <w:r>
        <w:t xml:space="preserve">12</w:t>
      </w:r>
      <w:r>
        <w:t xml:space="preserve">).</w:t>
      </w:r>
    </w:p>
    <w:p>
      <w:pPr>
        <w:pStyle w:val="CaptionedFigure"/>
      </w:pPr>
      <w:r>
        <w:drawing>
          <wp:inline>
            <wp:extent cx="5334000" cy="2983671"/>
            <wp:effectExtent b="0" l="0" r="0" t="0"/>
            <wp:docPr descr="Figure 12: Summary window of the 3 FishPath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49"/>
                    <a:stretch>
                      <a:fillRect/>
                    </a:stretch>
                  </pic:blipFill>
                  <pic:spPr bwMode="auto">
                    <a:xfrm>
                      <a:off x="0" y="0"/>
                      <a:ext cx="5334000" cy="2983671"/>
                    </a:xfrm>
                    <a:prstGeom prst="rect">
                      <a:avLst/>
                    </a:prstGeom>
                    <a:noFill/>
                    <a:ln w="9525">
                      <a:noFill/>
                      <a:headEnd/>
                      <a:tailEnd/>
                    </a:ln>
                  </pic:spPr>
                </pic:pic>
              </a:graphicData>
            </a:graphic>
          </wp:inline>
        </w:drawing>
      </w:r>
    </w:p>
    <w:p>
      <w:pPr>
        <w:pStyle w:val="ImageCaption"/>
      </w:pPr>
      <w:r>
        <w:t xml:space="preserve">Figure 12: Summary window of the 3 FishPath questionnaire sections, showing questionnaire progress.</w:t>
      </w:r>
    </w:p>
    <w:p>
      <w:pPr>
        <w:pStyle w:val="Heading1"/>
      </w:pPr>
      <w:bookmarkStart w:id="50" w:name="fishpath-tool-interactive-results-page"/>
      <w:r>
        <w:t xml:space="preserve">FishPath Tool Interactive Results Page</w:t>
      </w:r>
      <w:bookmarkEnd w:id="50"/>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13</w:t>
      </w:r>
      <w:r>
        <w:t xml:space="preserve">). The results are presented separately for each of the 3 sections, or harvest strategy component: 1) Data Collection; 2) Assessment; and 3) Management Measures (Figure</w:t>
      </w:r>
      <w:r>
        <w:t xml:space="preserve"> </w:t>
      </w:r>
      <w:r>
        <w:t xml:space="preserve">13</w:t>
      </w:r>
      <w:r>
        <w:t xml:space="preserve">, sections shown in dark blue bars near top of screen).</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12</w:t>
      </w:r>
      <w:r>
        <w:t xml:space="preserve">).</w:t>
      </w:r>
    </w:p>
    <w:p>
      <w:pPr>
        <w:pStyle w:val="CaptionedFigure"/>
      </w:pPr>
      <w:r>
        <w:drawing>
          <wp:inline>
            <wp:extent cx="5334000" cy="3747632"/>
            <wp:effectExtent b="0" l="0" r="0" t="0"/>
            <wp:docPr descr="Figure 13: Initial results display screen in the FishPath tool (featuring the Assessment section),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51"/>
                    <a:stretch>
                      <a:fillRect/>
                    </a:stretch>
                  </pic:blipFill>
                  <pic:spPr bwMode="auto">
                    <a:xfrm>
                      <a:off x="0" y="0"/>
                      <a:ext cx="5334000" cy="3747632"/>
                    </a:xfrm>
                    <a:prstGeom prst="rect">
                      <a:avLst/>
                    </a:prstGeom>
                    <a:noFill/>
                    <a:ln w="9525">
                      <a:noFill/>
                      <a:headEnd/>
                      <a:tailEnd/>
                    </a:ln>
                  </pic:spPr>
                </pic:pic>
              </a:graphicData>
            </a:graphic>
          </wp:inline>
        </w:drawing>
      </w:r>
    </w:p>
    <w:p>
      <w:pPr>
        <w:pStyle w:val="ImageCaption"/>
      </w:pPr>
      <w:r>
        <w:t xml:space="preserve">Figure 13: Initial results display screen in the FishPath tool (featuring the Assessment section), displaying a snapshot of results, not a full listing.</w:t>
      </w:r>
    </w:p>
    <w:p>
      <w:pPr>
        <w:pStyle w:val="BodyText"/>
      </w:pPr>
      <w:r>
        <w:t xml:space="preserve">Figure</w:t>
      </w:r>
      <w:r>
        <w:t xml:space="preserve"> </w:t>
      </w:r>
      <w:r>
        <w:t xml:space="preserve">14</w:t>
      </w:r>
      <w:r>
        <w:t xml:space="preserve"> </w:t>
      </w:r>
      <w:r>
        <w:t xml:space="preserve">shows the general components of the results page. Each of these is elaborated below:</w:t>
      </w:r>
    </w:p>
    <w:p>
      <w:pPr>
        <w:pStyle w:val="Compact"/>
        <w:numPr>
          <w:numId w:val="1007"/>
          <w:ilvl w:val="0"/>
        </w:numPr>
      </w:pPr>
      <w:hyperlink w:anchor="Results-Actions">
        <w:r>
          <w:rPr>
            <w:rStyle w:val="Hyperlink"/>
          </w:rPr>
          <w:t xml:space="preserve">Actions to Share Results and Edit Fishery Info</w:t>
        </w:r>
      </w:hyperlink>
    </w:p>
    <w:p>
      <w:pPr>
        <w:pStyle w:val="Compact"/>
        <w:numPr>
          <w:numId w:val="1007"/>
          <w:ilvl w:val="0"/>
        </w:numPr>
      </w:pPr>
      <w:hyperlink w:anchor="interactive-results-table">
        <w:r>
          <w:rPr>
            <w:rStyle w:val="Hyperlink"/>
          </w:rPr>
          <w:t xml:space="preserve">Interactive Results Table</w:t>
        </w:r>
      </w:hyperlink>
    </w:p>
    <w:p>
      <w:pPr>
        <w:pStyle w:val="Compact"/>
        <w:numPr>
          <w:numId w:val="1007"/>
          <w:ilvl w:val="0"/>
        </w:numPr>
      </w:pPr>
      <w:hyperlink w:anchor="show-hidden-options-and-sort-options">
        <w:r>
          <w:rPr>
            <w:rStyle w:val="Hyperlink"/>
          </w:rPr>
          <w:t xml:space="preserve">Show Hidden Options and Sort Options</w:t>
        </w:r>
      </w:hyperlink>
    </w:p>
    <w:p>
      <w:pPr>
        <w:pStyle w:val="Compact"/>
        <w:numPr>
          <w:numId w:val="1007"/>
          <w:ilvl w:val="0"/>
        </w:numPr>
      </w:pPr>
      <w:hyperlink w:anchor="X85ef7b1d515bd16ee4abc3de3b37947c9868b0e">
        <w:r>
          <w:rPr>
            <w:rStyle w:val="Hyperlink"/>
          </w:rPr>
          <w:t xml:space="preserve">Bookmarked Questions and Influential Answers</w:t>
        </w:r>
      </w:hyperlink>
    </w:p>
    <w:p>
      <w:pPr>
        <w:pStyle w:val="Compact"/>
        <w:numPr>
          <w:numId w:val="1007"/>
          <w:ilvl w:val="0"/>
        </w:numPr>
      </w:pPr>
      <w:hyperlink w:anchor="Results-Narrowing">
        <w:r>
          <w:rPr>
            <w:rStyle w:val="Hyperlink"/>
          </w:rPr>
          <w:t xml:space="preserve">Results Narrowing Process</w:t>
        </w:r>
      </w:hyperlink>
    </w:p>
    <w:p>
      <w:pPr>
        <w:pStyle w:val="CaptionedFigure"/>
      </w:pPr>
      <w:r>
        <w:drawing>
          <wp:inline>
            <wp:extent cx="5334000" cy="5134428"/>
            <wp:effectExtent b="0" l="0" r="0" t="0"/>
            <wp:docPr descr="Figure 14: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52"/>
                    <a:stretch>
                      <a:fillRect/>
                    </a:stretch>
                  </pic:blipFill>
                  <pic:spPr bwMode="auto">
                    <a:xfrm>
                      <a:off x="0" y="0"/>
                      <a:ext cx="5334000" cy="5134428"/>
                    </a:xfrm>
                    <a:prstGeom prst="rect">
                      <a:avLst/>
                    </a:prstGeom>
                    <a:noFill/>
                    <a:ln w="9525">
                      <a:noFill/>
                      <a:headEnd/>
                      <a:tailEnd/>
                    </a:ln>
                  </pic:spPr>
                </pic:pic>
              </a:graphicData>
            </a:graphic>
          </wp:inline>
        </w:drawing>
      </w:r>
    </w:p>
    <w:p>
      <w:pPr>
        <w:pStyle w:val="ImageCaption"/>
      </w:pPr>
      <w:r>
        <w:t xml:space="preserve">Figure 14: Key components (red labels 1-5) of the FishPath Interactive Tool Results Page.</w:t>
      </w:r>
    </w:p>
    <w:p>
      <w:pPr>
        <w:pStyle w:val="Heading2"/>
      </w:pPr>
      <w:bookmarkStart w:id="53" w:name="Results-Actions"/>
      <w:r>
        <w:t xml:space="preserve">Actions to Share Results and Edit Fishery Info</w:t>
      </w:r>
      <w:bookmarkEnd w:id="53"/>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14</w:t>
      </w:r>
      <w:r>
        <w:t xml:space="preserve">).</w:t>
      </w:r>
    </w:p>
    <w:p>
      <w:pPr>
        <w:pStyle w:val="Compact"/>
        <w:numPr>
          <w:numId w:val="1008"/>
          <w:ilvl w:val="0"/>
        </w:numPr>
      </w:pPr>
      <w:r>
        <w:rPr>
          <w:b/>
        </w:rPr>
        <w:t xml:space="preserve">Share:</w:t>
      </w:r>
      <w:r>
        <w:t xml:space="preserve"> </w:t>
      </w:r>
      <w:r>
        <w:t xml:space="preserve">This will generate a link that allows the user to share a fishery with someone. The user simply needs to send the link and the recipient will have view-only access 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pStyle w:val="Compact"/>
        <w:numPr>
          <w:numId w:val="1008"/>
          <w:ilvl w:val="0"/>
        </w:numPr>
      </w:pPr>
      <w:r>
        <w:rPr>
          <w:b/>
        </w:rPr>
        <w:t xml:space="preserve">Export CSV:</w:t>
      </w:r>
      <w:r>
        <w:t xml:space="preserve"> </w:t>
      </w:r>
      <w:r>
        <w:t xml:space="preserve">This allows users to export the question and answer list from the saved questionnaire, as well as a simple results file, as a .csv file.</w:t>
      </w:r>
    </w:p>
    <w:p>
      <w:pPr>
        <w:pStyle w:val="Compact"/>
        <w:numPr>
          <w:numId w:val="1008"/>
          <w:ilvl w:val="0"/>
        </w:numPr>
      </w:pPr>
      <w:r>
        <w:rPr>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pStyle w:val="Compact"/>
        <w:numPr>
          <w:numId w:val="1008"/>
          <w:ilvl w:val="0"/>
        </w:numPr>
      </w:pPr>
      <w:r>
        <w:rPr>
          <w:b/>
        </w:rPr>
        <w:t xml:space="preserve">Copy Fishery:</w:t>
      </w:r>
      <w:r>
        <w:t xml:space="preserve"> </w:t>
      </w:r>
      <w:r>
        <w:t xml:space="preserve">This allows users to make a copy of a fishery’s results, be these their own, or from a shared link. To rename that fishery and edit it under a different name, the user should select the</w:t>
      </w:r>
      <w:r>
        <w:t xml:space="preserve"> </w:t>
      </w:r>
      <w:r>
        <w:t xml:space="preserve">“</w:t>
      </w:r>
      <w:r>
        <w:t xml:space="preserve">Edit Name and Details</w:t>
      </w:r>
      <w:r>
        <w:t xml:space="preserve">”</w:t>
      </w:r>
      <w:r>
        <w:t xml:space="preserve"> </w:t>
      </w:r>
      <w:r>
        <w:t xml:space="preserve">button.</w:t>
      </w:r>
    </w:p>
    <w:p>
      <w:pPr>
        <w:pStyle w:val="Compact"/>
        <w:numPr>
          <w:numId w:val="1008"/>
          <w:ilvl w:val="0"/>
        </w:numPr>
      </w:pPr>
      <w:r>
        <w:rPr>
          <w:b/>
        </w:rPr>
        <w:t xml:space="preserve">Edit Name and Details:</w:t>
      </w:r>
      <w:r>
        <w:t xml:space="preserve"> </w:t>
      </w:r>
      <w:r>
        <w:t xml:space="preserve">This allows users to edit the information entered on the Fishery Information form (name, species, geography, etc.)</w:t>
      </w:r>
    </w:p>
    <w:p>
      <w:pPr>
        <w:pStyle w:val="Heading2"/>
      </w:pPr>
      <w:bookmarkStart w:id="54" w:name="interactive-results-table"/>
      <w:r>
        <w:t xml:space="preserve">Interactive Results Table</w:t>
      </w:r>
      <w:bookmarkEnd w:id="54"/>
    </w:p>
    <w:p>
      <w:pPr>
        <w:pStyle w:val="FirstParagraph"/>
      </w:pPr>
      <w:r>
        <w:t xml:space="preserve">The results table lists all the available options for the section of interest in rows. Each row summarizes the criteria met and failed, and the caveats invoked (see also</w:t>
      </w:r>
      <w:r>
        <w:t xml:space="preserve"> </w:t>
      </w:r>
      <w:r>
        <w:t xml:space="preserve">“</w:t>
      </w:r>
      <w:r>
        <w:t xml:space="preserve">Criteria and Caveat Questions</w:t>
      </w:r>
      <w:r>
        <w:t xml:space="preserve">”</w:t>
      </w:r>
      <w:r>
        <w:t xml:space="preserve"> </w:t>
      </w:r>
      <w:r>
        <w:t xml:space="preserve">section above). Each option can be selected and expanded to view its description and results in more detail. A guide to the content contained in each row is listed below.</w:t>
      </w:r>
    </w:p>
    <w:p>
      <w:pPr>
        <w:pStyle w:val="Heading3"/>
      </w:pPr>
      <w:bookmarkStart w:id="55" w:name="table-structure"/>
      <w:r>
        <w:t xml:space="preserve">Table Structure</w:t>
      </w:r>
      <w:bookmarkEnd w:id="55"/>
    </w:p>
    <w:p>
      <w:pPr>
        <w:pStyle w:val="FirstParagraph"/>
      </w:pPr>
      <w:r>
        <w:t xml:space="preserve">Figure</w:t>
      </w:r>
      <w:r>
        <w:t xml:space="preserve"> </w:t>
      </w:r>
      <w:r>
        <w:t xml:space="preserve">15</w:t>
      </w:r>
      <w:r>
        <w:t xml:space="preserve"> </w:t>
      </w:r>
      <w:r>
        <w:t xml:space="preserve">displays a single row from an example results table. The single row represents one option in the FishPath tool, and the details of this singe row are as follows:</w:t>
      </w:r>
    </w:p>
    <w:p>
      <w:pPr>
        <w:pStyle w:val="CaptionedFigure"/>
      </w:pPr>
      <w:r>
        <w:drawing>
          <wp:inline>
            <wp:extent cx="5334000" cy="434459"/>
            <wp:effectExtent b="0" l="0" r="0" t="0"/>
            <wp:docPr descr="Figure 15: Headings of the FishPath tool results table." title="" id="1" name="Picture"/>
            <a:graphic>
              <a:graphicData uri="http://schemas.openxmlformats.org/drawingml/2006/picture">
                <pic:pic>
                  <pic:nvPicPr>
                    <pic:cNvPr descr="images/single-row.png" id="0" name="Picture"/>
                    <pic:cNvPicPr>
                      <a:picLocks noChangeArrowheads="1" noChangeAspect="1"/>
                    </pic:cNvPicPr>
                  </pic:nvPicPr>
                  <pic:blipFill>
                    <a:blip r:embed="rId56"/>
                    <a:stretch>
                      <a:fillRect/>
                    </a:stretch>
                  </pic:blipFill>
                  <pic:spPr bwMode="auto">
                    <a:xfrm>
                      <a:off x="0" y="0"/>
                      <a:ext cx="5334000" cy="434459"/>
                    </a:xfrm>
                    <a:prstGeom prst="rect">
                      <a:avLst/>
                    </a:prstGeom>
                    <a:noFill/>
                    <a:ln w="9525">
                      <a:noFill/>
                      <a:headEnd/>
                      <a:tailEnd/>
                    </a:ln>
                  </pic:spPr>
                </pic:pic>
              </a:graphicData>
            </a:graphic>
          </wp:inline>
        </w:drawing>
      </w:r>
    </w:p>
    <w:p>
      <w:pPr>
        <w:pStyle w:val="ImageCaption"/>
      </w:pPr>
      <w:r>
        <w:t xml:space="preserve">Figure 15: Headings of the FishPath tool results table.</w:t>
      </w:r>
    </w:p>
    <w:p>
      <w:pPr>
        <w:pStyle w:val="Compact"/>
        <w:numPr>
          <w:numId w:val="1009"/>
          <w:ilvl w:val="0"/>
        </w:numPr>
      </w:pPr>
      <w:r>
        <w:rPr>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hidden</w:t>
      </w:r>
      <w:r>
        <w:t xml:space="preserve">”</w:t>
      </w:r>
      <w:r>
        <w:t xml:space="preserve"> </w:t>
      </w:r>
      <w:r>
        <w:t xml:space="preserve">or reinstate it.</w:t>
      </w:r>
    </w:p>
    <w:p>
      <w:pPr>
        <w:pStyle w:val="FirstParagraph"/>
      </w:pPr>
      <w:r>
        <w:drawing>
          <wp:inline>
            <wp:extent cx="660826" cy="683878"/>
            <wp:effectExtent b="0" l="0" r="0" t="0"/>
            <wp:docPr descr="" title="" id="1" name="Picture"/>
            <a:graphic>
              <a:graphicData uri="http://schemas.openxmlformats.org/drawingml/2006/picture">
                <pic:pic>
                  <pic:nvPicPr>
                    <pic:cNvPr descr="images/hide.png" id="0" name="Picture"/>
                    <pic:cNvPicPr>
                      <a:picLocks noChangeArrowheads="1" noChangeAspect="1"/>
                    </pic:cNvPicPr>
                  </pic:nvPicPr>
                  <pic:blipFill>
                    <a:blip r:embed="rId57"/>
                    <a:stretch>
                      <a:fillRect/>
                    </a:stretch>
                  </pic:blipFill>
                  <pic:spPr bwMode="auto">
                    <a:xfrm>
                      <a:off x="0" y="0"/>
                      <a:ext cx="660826" cy="683878"/>
                    </a:xfrm>
                    <a:prstGeom prst="rect">
                      <a:avLst/>
                    </a:prstGeom>
                    <a:noFill/>
                    <a:ln w="9525">
                      <a:noFill/>
                      <a:headEnd/>
                      <a:tailEnd/>
                    </a:ln>
                  </pic:spPr>
                </pic:pic>
              </a:graphicData>
            </a:graphic>
          </wp:inline>
        </w:drawing>
      </w:r>
    </w:p>
    <w:p>
      <w:pPr>
        <w:pStyle w:val="Compact"/>
        <w:numPr>
          <w:numId w:val="1010"/>
          <w:ilvl w:val="0"/>
        </w:numPr>
      </w:pPr>
      <w:r>
        <w:rPr>
          <w:b/>
        </w:rPr>
        <w:t xml:space="preserve">Notes:</w:t>
      </w:r>
      <w:r>
        <w:t xml:space="preserve"> </w:t>
      </w:r>
      <w:r>
        <w:t xml:space="preserve">As within the questionnaire, notes may be written and saved (with a secure internet connection) for each option. For example, notes may be taken on fishery-specific details (not covered within the questionnaire) on why that option may or may not be a good fit, or to record the user’s or user groups overall evaluation of the option, given its associated criteria and caveats. Alternatively, notes may be taken if options are hidden or reinstated, to justify that choice as documentation. Notes are be included in the PDF report.</w:t>
      </w:r>
    </w:p>
    <w:p>
      <w:pPr>
        <w:pStyle w:val="FirstParagraph"/>
      </w:pPr>
      <w:r>
        <w:drawing>
          <wp:inline>
            <wp:extent cx="1559292" cy="1501541"/>
            <wp:effectExtent b="0" l="0" r="0" t="0"/>
            <wp:docPr descr="" title="" id="1" name="Picture"/>
            <a:graphic>
              <a:graphicData uri="http://schemas.openxmlformats.org/drawingml/2006/picture">
                <pic:pic>
                  <pic:nvPicPr>
                    <pic:cNvPr descr="images/notes.png" id="0" name="Picture"/>
                    <pic:cNvPicPr>
                      <a:picLocks noChangeArrowheads="1" noChangeAspect="1"/>
                    </pic:cNvPicPr>
                  </pic:nvPicPr>
                  <pic:blipFill>
                    <a:blip r:embed="rId58"/>
                    <a:stretch>
                      <a:fillRect/>
                    </a:stretch>
                  </pic:blipFill>
                  <pic:spPr bwMode="auto">
                    <a:xfrm>
                      <a:off x="0" y="0"/>
                      <a:ext cx="1559292" cy="1501541"/>
                    </a:xfrm>
                    <a:prstGeom prst="rect">
                      <a:avLst/>
                    </a:prstGeom>
                    <a:noFill/>
                    <a:ln w="9525">
                      <a:noFill/>
                      <a:headEnd/>
                      <a:tailEnd/>
                    </a:ln>
                  </pic:spPr>
                </pic:pic>
              </a:graphicData>
            </a:graphic>
          </wp:inline>
        </w:drawing>
      </w:r>
    </w:p>
    <w:p>
      <w:pPr>
        <w:pStyle w:val="Compact"/>
        <w:numPr>
          <w:numId w:val="1011"/>
          <w:ilvl w:val="0"/>
        </w:numPr>
      </w:pPr>
      <w:r>
        <w:rPr>
          <w:b/>
        </w:rPr>
        <w:t xml:space="preserve">Criteria (Data Collection and Assessment sections):</w:t>
      </w:r>
      <w:r>
        <w:t xml:space="preserve"> </w:t>
      </w:r>
      <w:r>
        <w:t xml:space="preserve">The criteria column provides information on whether the fishery meets the minimum conditions required to undertake the option. As explained above, the Management Measures section does not include criteria. If the fishery has met all of the minimum criteria required for the option, a green check is displayed. On the other hand, if a fishery has not met one or more of the minimum criteria required for the option, a red X is displayed (and the option is automatically</w:t>
      </w:r>
      <w:r>
        <w:t xml:space="preserve"> </w:t>
      </w:r>
      <w:r>
        <w:t xml:space="preserve">“</w:t>
      </w:r>
      <w:r>
        <w:t xml:space="preserve">hidden</w:t>
      </w:r>
      <w:r>
        <w:t xml:space="preserve">”</w:t>
      </w:r>
      <w:r>
        <w:t xml:space="preserve">). The numbered boxes next to the red</w:t>
      </w:r>
      <w:r>
        <w:t xml:space="preserve"> </w:t>
      </w:r>
      <w:r>
        <w:t xml:space="preserve">“</w:t>
      </w:r>
      <w:r>
        <w:t xml:space="preserve">X</w:t>
      </w:r>
      <w:r>
        <w:t xml:space="preserve">”</w:t>
      </w:r>
      <w:r>
        <w:t xml:space="preserve"> </w:t>
      </w:r>
      <w:r>
        <w:t xml:space="preserve">indicate the number of criteria met (green) and unmet (black). For the assessment section only, criteria also have associated</w:t>
      </w:r>
      <w:r>
        <w:t xml:space="preserve"> </w:t>
      </w:r>
      <w:r>
        <w:t xml:space="preserve">“</w:t>
      </w:r>
      <w:r>
        <w:t xml:space="preserve">traffic light</w:t>
      </w:r>
      <w:r>
        <w:t xml:space="preserve">”</w:t>
      </w:r>
      <w:r>
        <w:t xml:space="preserve"> </w:t>
      </w:r>
      <w:r>
        <w:t xml:space="preserve">colored (black, red, orange, yellow, green) guidance to encourage FishPath users to explicitly consider the possible uncertainty associated with the quality of their fishery’s information (with black equating to a minimum criterion not having been met). The numbers within in each symbol, are the subset of the total criteria for that option that were not met (black), and that invoked (red, orange, yellow) uncertainty warnings, and positive attributes (green), as triggered by questionnaire responses.</w:t>
      </w:r>
    </w:p>
    <w:p>
      <w:pPr>
        <w:pStyle w:val="FirstParagraph"/>
      </w:pPr>
      <w:r>
        <w:drawing>
          <wp:inline>
            <wp:extent cx="2029216" cy="2354893"/>
            <wp:effectExtent b="0" l="0" r="0" t="0"/>
            <wp:docPr descr="" title="" id="1" name="Picture"/>
            <a:graphic>
              <a:graphicData uri="http://schemas.openxmlformats.org/drawingml/2006/picture">
                <pic:pic>
                  <pic:nvPicPr>
                    <pic:cNvPr descr="images/criteria.png" id="0" name="Picture"/>
                    <pic:cNvPicPr>
                      <a:picLocks noChangeArrowheads="1" noChangeAspect="1"/>
                    </pic:cNvPicPr>
                  </pic:nvPicPr>
                  <pic:blipFill>
                    <a:blip r:embed="rId59"/>
                    <a:stretch>
                      <a:fillRect/>
                    </a:stretch>
                  </pic:blipFill>
                  <pic:spPr bwMode="auto">
                    <a:xfrm>
                      <a:off x="0" y="0"/>
                      <a:ext cx="2029216" cy="2354893"/>
                    </a:xfrm>
                    <a:prstGeom prst="rect">
                      <a:avLst/>
                    </a:prstGeom>
                    <a:noFill/>
                    <a:ln w="9525">
                      <a:noFill/>
                      <a:headEnd/>
                      <a:tailEnd/>
                    </a:ln>
                  </pic:spPr>
                </pic:pic>
              </a:graphicData>
            </a:graphic>
          </wp:inline>
        </w:drawing>
      </w:r>
    </w:p>
    <w:p>
      <w:pPr>
        <w:numPr>
          <w:numId w:val="1012"/>
          <w:ilvl w:val="0"/>
        </w:numPr>
      </w:pPr>
      <w:r>
        <w:rPr>
          <w:b/>
        </w:rPr>
        <w:t xml:space="preserve">Caveats:</w:t>
      </w:r>
      <w:r>
        <w:t xml:space="preserve"> </w:t>
      </w:r>
      <w:r>
        <w:t xml:space="preserve">The format of the caveats column is identical across all three sections. Caveats are shown as colored circles with numbers indicating the total number of questionnaire responses that invoked a caveat of that particular color. There are three types of caveats:</w:t>
      </w:r>
    </w:p>
    <w:p>
      <w:pPr>
        <w:pStyle w:val="Compact"/>
        <w:numPr>
          <w:numId w:val="1013"/>
          <w:ilvl w:val="1"/>
        </w:numPr>
      </w:pPr>
      <w:r>
        <w:rPr>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pStyle w:val="Compact"/>
        <w:numPr>
          <w:numId w:val="1013"/>
          <w:ilvl w:val="1"/>
        </w:numPr>
      </w:pPr>
      <w:r>
        <w:rPr>
          <w:b/>
        </w:rPr>
        <w:t xml:space="preserve">Positive attributes:</w:t>
      </w:r>
      <w:r>
        <w:t xml:space="preserve"> </w:t>
      </w:r>
      <w:r>
        <w:t xml:space="preserve">A green colored caveat provides reasoning for why the option might be well-suited for the fishery on the basis on a of a user response in the questionnaire.</w:t>
      </w:r>
    </w:p>
    <w:p>
      <w:pPr>
        <w:pStyle w:val="Compact"/>
        <w:numPr>
          <w:numId w:val="1013"/>
          <w:ilvl w:val="1"/>
        </w:numPr>
      </w:pPr>
      <w:r>
        <w:rPr>
          <w:b/>
        </w:rPr>
        <w:t xml:space="preserve">Static caveats:</w:t>
      </w:r>
      <w:r>
        <w:t xml:space="preserve"> </w:t>
      </w:r>
      <w:r>
        <w:t xml:space="preserve">Turquoise colored caveats are static caveats that need to be considered for an option, regardless of the fishery or the questionnaire responses. A static caveat is independent of specific fishery circumstances and as such are always present. These include key assessment assumptions, for example, that the assessment option assumes that fishery selectivity has not changed over time, or that the assessment method cannot explicitly address uncertainty.</w:t>
      </w:r>
    </w:p>
    <w:p>
      <w:pPr>
        <w:pStyle w:val="FirstParagraph"/>
      </w:pPr>
      <w:r>
        <w:drawing>
          <wp:inline>
            <wp:extent cx="2228369" cy="2197633"/>
            <wp:effectExtent b="0" l="0" r="0" t="0"/>
            <wp:docPr descr="" title="" id="1" name="Picture"/>
            <a:graphic>
              <a:graphicData uri="http://schemas.openxmlformats.org/drawingml/2006/picture">
                <pic:pic>
                  <pic:nvPicPr>
                    <pic:cNvPr descr="images/caveats.png" id="0" name="Picture"/>
                    <pic:cNvPicPr>
                      <a:picLocks noChangeArrowheads="1" noChangeAspect="1"/>
                    </pic:cNvPicPr>
                  </pic:nvPicPr>
                  <pic:blipFill>
                    <a:blip r:embed="rId60"/>
                    <a:stretch>
                      <a:fillRect/>
                    </a:stretch>
                  </pic:blipFill>
                  <pic:spPr bwMode="auto">
                    <a:xfrm>
                      <a:off x="0" y="0"/>
                      <a:ext cx="2228369" cy="2197633"/>
                    </a:xfrm>
                    <a:prstGeom prst="rect">
                      <a:avLst/>
                    </a:prstGeom>
                    <a:noFill/>
                    <a:ln w="9525">
                      <a:noFill/>
                      <a:headEnd/>
                      <a:tailEnd/>
                    </a:ln>
                  </pic:spPr>
                </pic:pic>
              </a:graphicData>
            </a:graphic>
          </wp:inline>
        </w:drawing>
      </w:r>
    </w:p>
    <w:p>
      <w:pPr>
        <w:numPr>
          <w:numId w:val="1014"/>
          <w:ilvl w:val="0"/>
        </w:numPr>
      </w:pPr>
      <w:r>
        <w:rPr>
          <w:b/>
        </w:rPr>
        <w:t xml:space="preserve">(Data) Category:</w:t>
      </w:r>
      <w:r>
        <w:t xml:space="preserve"> </w:t>
      </w:r>
      <w:r>
        <w:t xml:space="preserve">The Category column allows the user to view the options by categories. This column is different for each section. In the Data Collection Section, this column is titled</w:t>
      </w:r>
      <w:r>
        <w:t xml:space="preserve"> </w:t>
      </w:r>
      <w:r>
        <w:t xml:space="preserve">“</w:t>
      </w:r>
      <w:r>
        <w:t xml:space="preserve">Data Category</w:t>
      </w:r>
      <w:r>
        <w:t xml:space="preserve">”</w:t>
      </w:r>
      <w:r>
        <w:t xml:space="preserve">, showing the four categories of the type of data that may be collected (see also</w:t>
      </w:r>
      <w:r>
        <w:t xml:space="preserve"> </w:t>
      </w:r>
      <w:r>
        <w:t xml:space="preserve">“</w:t>
      </w:r>
      <w:r>
        <w:t xml:space="preserve">Data Collection Section Results</w:t>
      </w:r>
      <w:r>
        <w:t xml:space="preserve">”</w:t>
      </w:r>
      <w:r>
        <w:t xml:space="preserve"> </w:t>
      </w:r>
      <w:r>
        <w:t xml:space="preserve">above). In the Assessment Section, this column is titled either</w:t>
      </w:r>
      <w:r>
        <w:t xml:space="preserve"> </w:t>
      </w:r>
      <w:r>
        <w:t xml:space="preserve">“</w:t>
      </w:r>
      <w:r>
        <w:t xml:space="preserve">Input-Based Category</w:t>
      </w:r>
      <w:r>
        <w:t xml:space="preserve">”</w:t>
      </w:r>
      <w:r>
        <w:t xml:space="preserve"> </w:t>
      </w:r>
      <w:r>
        <w:t xml:space="preserve">or</w:t>
      </w:r>
      <w:r>
        <w:t xml:space="preserve"> </w:t>
      </w:r>
      <w:r>
        <w:t xml:space="preserve">“</w:t>
      </w:r>
      <w:r>
        <w:t xml:space="preserve">Output-Based Category</w:t>
      </w:r>
      <w:r>
        <w:t xml:space="preserve">”</w:t>
      </w:r>
      <w:r>
        <w:t xml:space="preserve">, reflecting two sorting options available for organizing the assessment option results. In the Management Measures Section, this column is simply titled</w:t>
      </w:r>
      <w:r>
        <w:t xml:space="preserve"> </w:t>
      </w:r>
      <w:r>
        <w:t xml:space="preserve">“</w:t>
      </w:r>
      <w:r>
        <w:t xml:space="preserve">Category</w:t>
      </w:r>
      <w:r>
        <w:t xml:space="preserve">”</w:t>
      </w:r>
      <w:r>
        <w:t xml:space="preserve"> </w:t>
      </w:r>
      <w:r>
        <w:t xml:space="preserve">and displays the categories of management measures.</w:t>
      </w:r>
    </w:p>
    <w:p>
      <w:pPr>
        <w:numPr>
          <w:numId w:val="1014"/>
          <w:ilvl w:val="0"/>
        </w:numPr>
      </w:pPr>
      <w:r>
        <w:rPr>
          <w:b/>
        </w:rPr>
        <w:t xml:space="preserve">Option:</w:t>
      </w:r>
      <w:r>
        <w:t xml:space="preserve"> </w:t>
      </w:r>
      <w:r>
        <w:t xml:space="preserve">This is the name of the option being considered.</w:t>
      </w:r>
    </w:p>
    <w:p>
      <w:pPr>
        <w:pStyle w:val="Heading3"/>
      </w:pPr>
      <w:bookmarkStart w:id="61" w:name="full-option-details"/>
      <w:r>
        <w:t xml:space="preserve">Full Option Details</w:t>
      </w:r>
      <w:bookmarkEnd w:id="61"/>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16</w:t>
      </w:r>
      <w:r>
        <w:t xml:space="preserve">)</w:t>
      </w:r>
    </w:p>
    <w:p>
      <w:pPr>
        <w:pStyle w:val="Compact"/>
        <w:numPr>
          <w:numId w:val="1015"/>
          <w:ilvl w:val="0"/>
        </w:numPr>
      </w:pPr>
      <w:r>
        <w:t xml:space="preserve">Criteria not met,</w:t>
      </w:r>
    </w:p>
    <w:p>
      <w:pPr>
        <w:pStyle w:val="Compact"/>
        <w:numPr>
          <w:numId w:val="1015"/>
          <w:ilvl w:val="0"/>
        </w:numPr>
      </w:pPr>
      <w:r>
        <w:t xml:space="preserve">Met criteria,</w:t>
      </w:r>
    </w:p>
    <w:p>
      <w:pPr>
        <w:pStyle w:val="Compact"/>
        <w:numPr>
          <w:numId w:val="1015"/>
          <w:ilvl w:val="0"/>
        </w:numPr>
      </w:pPr>
      <w:r>
        <w:t xml:space="preserve">Cautionary caveats,</w:t>
      </w:r>
    </w:p>
    <w:p>
      <w:pPr>
        <w:pStyle w:val="Compact"/>
        <w:numPr>
          <w:numId w:val="1015"/>
          <w:ilvl w:val="0"/>
        </w:numPr>
      </w:pPr>
      <w:r>
        <w:t xml:space="preserve">Positive attribute caveats, and</w:t>
      </w:r>
    </w:p>
    <w:p>
      <w:pPr>
        <w:pStyle w:val="Compact"/>
        <w:numPr>
          <w:numId w:val="1015"/>
          <w:ilvl w:val="0"/>
        </w:numPr>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BodyText"/>
      </w:pPr>
      <w:r>
        <w:drawing>
          <wp:inline>
            <wp:extent cx="5334000" cy="4364181"/>
            <wp:effectExtent b="0" l="0" r="0" t="0"/>
            <wp:docPr descr="Figure 16: Example of pop-up box that appears when clicking on each option."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62"/>
                    <a:stretch>
                      <a:fillRect/>
                    </a:stretch>
                  </pic:blipFill>
                  <pic:spPr bwMode="auto">
                    <a:xfrm>
                      <a:off x="0" y="0"/>
                      <a:ext cx="5334000" cy="4364181"/>
                    </a:xfrm>
                    <a:prstGeom prst="rect">
                      <a:avLst/>
                    </a:prstGeom>
                    <a:noFill/>
                    <a:ln w="9525">
                      <a:noFill/>
                      <a:headEnd/>
                      <a:tailEnd/>
                    </a:ln>
                  </pic:spPr>
                </pic:pic>
              </a:graphicData>
            </a:graphic>
          </wp:inline>
        </w:drawing>
      </w:r>
      <w:r>
        <w:drawing>
          <wp:inline>
            <wp:extent cx="5334000" cy="4376615"/>
            <wp:effectExtent b="0" l="0" r="0" t="0"/>
            <wp:docPr descr="(#fig:opt-desc)Example of pop-up box that appears when clicking on each option." title="" id="1" name="Picture"/>
            <a:graphic>
              <a:graphicData uri="http://schemas.openxmlformats.org/drawingml/2006/picture">
                <pic:pic>
                  <pic:nvPicPr>
                    <pic:cNvPr descr="images/option-result-details.png" id="0" name="Picture"/>
                    <pic:cNvPicPr>
                      <a:picLocks noChangeArrowheads="1" noChangeAspect="1"/>
                    </pic:cNvPicPr>
                  </pic:nvPicPr>
                  <pic:blipFill>
                    <a:blip r:embed="rId63"/>
                    <a:stretch>
                      <a:fillRect/>
                    </a:stretch>
                  </pic:blipFill>
                  <pic:spPr bwMode="auto">
                    <a:xfrm>
                      <a:off x="0" y="0"/>
                      <a:ext cx="5334000" cy="4376615"/>
                    </a:xfrm>
                    <a:prstGeom prst="rect">
                      <a:avLst/>
                    </a:prstGeom>
                    <a:noFill/>
                    <a:ln w="9525">
                      <a:noFill/>
                      <a:headEnd/>
                      <a:tailEnd/>
                    </a:ln>
                  </pic:spPr>
                </pic:pic>
              </a:graphicData>
            </a:graphic>
          </wp:inline>
        </w:drawing>
      </w:r>
    </w:p>
    <w:p>
      <w:pPr>
        <w:pStyle w:val="BodyText"/>
      </w:pPr>
      <w:r>
        <w:rPr>
          <w:b/>
        </w:rPr>
        <w:t xml:space="preserve">Criteria drop-down box (Figures</w:t>
      </w:r>
      <w:r>
        <w:rPr>
          <w:b/>
        </w:rPr>
        <w:t xml:space="preserve"> </w:t>
      </w:r>
      <w:r>
        <w:rPr>
          <w:b/>
        </w:rPr>
        <w:t xml:space="preserve">18</w:t>
      </w:r>
      <w:r>
        <w:rPr>
          <w:b/>
        </w:rPr>
        <w:t xml:space="preserve">-</w:t>
      </w:r>
      <w:r>
        <w:rPr>
          <w:b/>
        </w:rPr>
        <w:t xml:space="preserve">19</w:t>
      </w:r>
      <w:r>
        <w:rPr>
          <w:b/>
        </w:rPr>
        <w:t xml:space="preserve">)</w:t>
      </w:r>
      <w:r>
        <w:t xml:space="preserve">: Each criterion drop-down shows the relevant question with the user’s response shown (highlighted in black) relative to the minimum required level for that option (where green coloring starts on left) (Figure</w:t>
      </w:r>
      <w:r>
        <w:t xml:space="preserve"> </w:t>
      </w:r>
      <w:r>
        <w:t xml:space="preserve">18</w:t>
      </w:r>
      <w:r>
        <w:t xml:space="preserve">). The Assessment section assigns traffic light colors to levels above the minimum, indicating their relative uncertainty and thus the relative caution that should be taken (Figure</w:t>
      </w:r>
      <w:r>
        <w:t xml:space="preserve"> </w:t>
      </w:r>
      <w:r>
        <w:t xml:space="preserve">19</w:t>
      </w:r>
      <w:r>
        <w:t xml:space="preserve">).</w:t>
      </w:r>
    </w:p>
    <w:p>
      <w:pPr>
        <w:pStyle w:val="CaptionedFigure"/>
      </w:pPr>
      <w:r>
        <w:drawing>
          <wp:inline>
            <wp:extent cx="5334000" cy="5313041"/>
            <wp:effectExtent b="0" l="0" r="0" t="0"/>
            <wp:docPr descr="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64"/>
                    <a:stretch>
                      <a:fillRect/>
                    </a:stretch>
                  </pic:blipFill>
                  <pic:spPr bwMode="auto">
                    <a:xfrm>
                      <a:off x="0" y="0"/>
                      <a:ext cx="5334000" cy="5313041"/>
                    </a:xfrm>
                    <a:prstGeom prst="rect">
                      <a:avLst/>
                    </a:prstGeom>
                    <a:noFill/>
                    <a:ln w="9525">
                      <a:noFill/>
                      <a:headEnd/>
                      <a:tailEnd/>
                    </a:ln>
                  </pic:spPr>
                </pic:pic>
              </a:graphicData>
            </a:graphic>
          </wp:inline>
        </w:drawing>
      </w:r>
    </w:p>
    <w:p>
      <w:pPr>
        <w:pStyle w:val="ImageCaption"/>
      </w:pPr>
      <w:r>
        <w:t xml:space="preserve">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w:t>
      </w:r>
    </w:p>
    <w:p>
      <w:pPr>
        <w:pStyle w:val="CaptionedFigure"/>
      </w:pPr>
      <w:r>
        <w:drawing>
          <wp:inline>
            <wp:extent cx="5334000" cy="4570990"/>
            <wp:effectExtent b="0" l="0" r="0" t="0"/>
            <wp:docPr descr="Figure 19: Example drop-down menu with details for an option in the Assessment section that has passed criteria, but indicating the user to take caution regarding the uncertainty in the fishing effort data. Red indicates high uncertainty in the data. Green indicates low uncertainty."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65"/>
                    <a:stretch>
                      <a:fillRect/>
                    </a:stretch>
                  </pic:blipFill>
                  <pic:spPr bwMode="auto">
                    <a:xfrm>
                      <a:off x="0" y="0"/>
                      <a:ext cx="5334000" cy="4570990"/>
                    </a:xfrm>
                    <a:prstGeom prst="rect">
                      <a:avLst/>
                    </a:prstGeom>
                    <a:noFill/>
                    <a:ln w="9525">
                      <a:noFill/>
                      <a:headEnd/>
                      <a:tailEnd/>
                    </a:ln>
                  </pic:spPr>
                </pic:pic>
              </a:graphicData>
            </a:graphic>
          </wp:inline>
        </w:drawing>
      </w:r>
    </w:p>
    <w:p>
      <w:pPr>
        <w:pStyle w:val="ImageCaption"/>
      </w:pPr>
      <w:r>
        <w:t xml:space="preserve">Figure 19: Example drop-down menu with details for an option in the Assessment section that has passed criteria, but indicating the user to take caution regarding the uncertainty in the fishing effort data. Red indicates high uncertainty in the data. Green indicates low uncertainty.</w:t>
      </w:r>
    </w:p>
    <w:p>
      <w:pPr>
        <w:pStyle w:val="BodyText"/>
      </w:pPr>
      <w:r>
        <w:rPr>
          <w:b/>
        </w:rPr>
        <w:t xml:space="preserve">Caveat Drop-Down Box (Figures</w:t>
      </w:r>
      <w:r>
        <w:rPr>
          <w:b/>
        </w:rPr>
        <w:t xml:space="preserve"> </w:t>
      </w:r>
      <w:r>
        <w:rPr>
          <w:b/>
        </w:rPr>
        <w:t xml:space="preserve">20</w:t>
      </w:r>
      <w:r>
        <w:rPr>
          <w:b/>
        </w:rPr>
        <w:t xml:space="preserve">-</w:t>
      </w:r>
      <w:r>
        <w:rPr>
          <w:b/>
        </w:rPr>
        <w:t xml:space="preserve">22</w:t>
      </w:r>
      <w:r>
        <w:rPr>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turquoise.</w:t>
      </w:r>
    </w:p>
    <w:p>
      <w:pPr>
        <w:pStyle w:val="CaptionedFigure"/>
      </w:pPr>
      <w:r>
        <w:drawing>
          <wp:inline>
            <wp:extent cx="5334000" cy="7115493"/>
            <wp:effectExtent b="0" l="0" r="0" t="0"/>
            <wp:docPr descr="Figure 20: Example caveat drop-down menu with details for an option for which questionnaire responses invoked 8 cautionary caveats (2 orange, 6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66"/>
                    <a:stretch>
                      <a:fillRect/>
                    </a:stretch>
                  </pic:blipFill>
                  <pic:spPr bwMode="auto">
                    <a:xfrm>
                      <a:off x="0" y="0"/>
                      <a:ext cx="5334000" cy="7115493"/>
                    </a:xfrm>
                    <a:prstGeom prst="rect">
                      <a:avLst/>
                    </a:prstGeom>
                    <a:noFill/>
                    <a:ln w="9525">
                      <a:noFill/>
                      <a:headEnd/>
                      <a:tailEnd/>
                    </a:ln>
                  </pic:spPr>
                </pic:pic>
              </a:graphicData>
            </a:graphic>
          </wp:inline>
        </w:drawing>
      </w:r>
    </w:p>
    <w:p>
      <w:pPr>
        <w:pStyle w:val="ImageCaption"/>
      </w:pPr>
      <w:r>
        <w:t xml:space="preserve">Figure 20: Example caveat drop-down menu with details for an option for which questionnaire responses invoked 8 cautionary caveats (2 orange, 6 yellow, as shown at the top right corner of the drop-down menu).</w:t>
      </w:r>
    </w:p>
    <w:p>
      <w:pPr>
        <w:pStyle w:val="CaptionedFigure"/>
      </w:pPr>
      <w:r>
        <w:drawing>
          <wp:inline>
            <wp:extent cx="5334000" cy="5117850"/>
            <wp:effectExtent b="0" l="0" r="0" t="0"/>
            <wp:docPr descr="Figure 21: Example drop-down menu of positive attributes for an option for which questionnaire responses invoked 5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67"/>
                    <a:stretch>
                      <a:fillRect/>
                    </a:stretch>
                  </pic:blipFill>
                  <pic:spPr bwMode="auto">
                    <a:xfrm>
                      <a:off x="0" y="0"/>
                      <a:ext cx="5334000" cy="5117850"/>
                    </a:xfrm>
                    <a:prstGeom prst="rect">
                      <a:avLst/>
                    </a:prstGeom>
                    <a:noFill/>
                    <a:ln w="9525">
                      <a:noFill/>
                      <a:headEnd/>
                      <a:tailEnd/>
                    </a:ln>
                  </pic:spPr>
                </pic:pic>
              </a:graphicData>
            </a:graphic>
          </wp:inline>
        </w:drawing>
      </w:r>
    </w:p>
    <w:p>
      <w:pPr>
        <w:pStyle w:val="ImageCaption"/>
      </w:pPr>
      <w:r>
        <w:t xml:space="preserve">Figure 21: Example drop-down menu of positive attributes for an option for which questionnaire responses invoked 5 positive attributes (shown at the top right corner of the drop-down menu).</w:t>
      </w:r>
    </w:p>
    <w:p>
      <w:pPr>
        <w:pStyle w:val="CaptionedFigure"/>
      </w:pPr>
      <w:r>
        <w:drawing>
          <wp:inline>
            <wp:extent cx="5334000" cy="4529000"/>
            <wp:effectExtent b="0" l="0" r="0" t="0"/>
            <wp:docPr descr="Figure 22: Example static caveat drop-down menu for an option with 3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68"/>
                    <a:stretch>
                      <a:fillRect/>
                    </a:stretch>
                  </pic:blipFill>
                  <pic:spPr bwMode="auto">
                    <a:xfrm>
                      <a:off x="0" y="0"/>
                      <a:ext cx="5334000" cy="4529000"/>
                    </a:xfrm>
                    <a:prstGeom prst="rect">
                      <a:avLst/>
                    </a:prstGeom>
                    <a:noFill/>
                    <a:ln w="9525">
                      <a:noFill/>
                      <a:headEnd/>
                      <a:tailEnd/>
                    </a:ln>
                  </pic:spPr>
                </pic:pic>
              </a:graphicData>
            </a:graphic>
          </wp:inline>
        </w:drawing>
      </w:r>
    </w:p>
    <w:p>
      <w:pPr>
        <w:pStyle w:val="ImageCaption"/>
      </w:pPr>
      <w:r>
        <w:t xml:space="preserve">Figure 22: Example static caveat drop-down menu for an option with 3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p>
      <w:pPr>
        <w:pStyle w:val="Heading3"/>
      </w:pPr>
      <w:bookmarkStart w:id="69" w:name="X110abcc18dc19cd250eb23379f5aef8fd916354"/>
      <w:r>
        <w:t xml:space="preserve">More Information on Options within the 3 Results Sections</w:t>
      </w:r>
      <w:bookmarkEnd w:id="69"/>
    </w:p>
    <w:p>
      <w:pPr>
        <w:pStyle w:val="Heading4"/>
      </w:pPr>
      <w:bookmarkStart w:id="70" w:name="data-collection-section-results"/>
      <w:r>
        <w:t xml:space="preserve">Data Collection Section Results</w:t>
      </w:r>
      <w:bookmarkEnd w:id="70"/>
    </w:p>
    <w:p>
      <w:pPr>
        <w:pStyle w:val="FirstParagraph"/>
      </w:pPr>
      <w:r>
        <w:t xml:space="preserve">The Data Collection section of the FishPath tool includes a range of data collection options (from market surveys, to logbooks and observer programs). These data collection options are subdivided according to the broad category of data that may be collected, as these influence the viability of the data collection option. The four data categories in the FishPath tool are: 1) biological information; 2) data that yield a basic understanding of the fishery; 3) data that can inform temporal trend analyses (data time series), and 4) data that are of a sufficient quality to inform a model-based stock assessment.</w:t>
      </w:r>
    </w:p>
    <w:p>
      <w:pPr>
        <w:pStyle w:val="Heading4"/>
      </w:pPr>
      <w:bookmarkStart w:id="71" w:name="assessment-section-results"/>
      <w:r>
        <w:t xml:space="preserve">Assessment Section Results</w:t>
      </w:r>
      <w:bookmarkEnd w:id="71"/>
    </w:p>
    <w:p>
      <w:pPr>
        <w:pStyle w:val="FirstParagraph"/>
      </w:pPr>
      <w:r>
        <w:t xml:space="preserve">The Assessment section of the FishPath tool allows the user to understand which data-limited stock assessment methods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Heading4"/>
      </w:pPr>
      <w:bookmarkStart w:id="72" w:name="management-measure-section-results"/>
      <w:r>
        <w:t xml:space="preserve">Management Measure Section Results</w:t>
      </w:r>
      <w:bookmarkEnd w:id="72"/>
    </w:p>
    <w:p>
      <w:pPr>
        <w:pStyle w:val="FirstParagraph"/>
      </w:pPr>
      <w:r>
        <w:t xml:space="preserve">A management measure is the form of control used to manage the fishing mortality. Once the desired management measures have been identified (for example, size limits, or catch adjustments in response to quantitative assessment outcomes), they are adjusted via</w:t>
      </w:r>
      <w:r>
        <w:t xml:space="preserve"> </w:t>
      </w:r>
      <w:r>
        <w:t xml:space="preserve">“</w:t>
      </w:r>
      <w:r>
        <w:t xml:space="preserve">decision rules</w:t>
      </w:r>
      <w:r>
        <w:t xml:space="preserve">”</w:t>
      </w:r>
      <w:r>
        <w:t xml:space="preserve">, or</w:t>
      </w:r>
      <w:r>
        <w:t xml:space="preserve"> </w:t>
      </w:r>
      <w:r>
        <w:t xml:space="preserve">“</w:t>
      </w:r>
      <w:r>
        <w:t xml:space="preserve">harvest control rules</w:t>
      </w:r>
      <w:r>
        <w:t xml:space="preserve">”</w:t>
      </w:r>
      <w:r>
        <w:t xml:space="preserve">. These specify the strength and nature of the pre-agreed management action to be taken given the status of the fishery, as determined by the assessment. Management measures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in this process, located within the description of each option.</w:t>
      </w:r>
    </w:p>
    <w:p>
      <w:pPr>
        <w:pStyle w:val="Heading2"/>
      </w:pPr>
      <w:bookmarkStart w:id="73" w:name="show-hidden-options-and-sort-options"/>
      <w:r>
        <w:t xml:space="preserve">Show Hidden Options and Sort Options</w:t>
      </w:r>
      <w:bookmarkEnd w:id="73"/>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23</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531620"/>
            <wp:effectExtent b="0" l="0" r="0" t="0"/>
            <wp:docPr descr="Figure 23: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74"/>
                    <a:stretch>
                      <a:fillRect/>
                    </a:stretch>
                  </pic:blipFill>
                  <pic:spPr bwMode="auto">
                    <a:xfrm>
                      <a:off x="0" y="0"/>
                      <a:ext cx="5334000" cy="1531620"/>
                    </a:xfrm>
                    <a:prstGeom prst="rect">
                      <a:avLst/>
                    </a:prstGeom>
                    <a:noFill/>
                    <a:ln w="9525">
                      <a:noFill/>
                      <a:headEnd/>
                      <a:tailEnd/>
                    </a:ln>
                  </pic:spPr>
                </pic:pic>
              </a:graphicData>
            </a:graphic>
          </wp:inline>
        </w:drawing>
      </w:r>
    </w:p>
    <w:p>
      <w:pPr>
        <w:pStyle w:val="ImageCaption"/>
      </w:pPr>
      <w:r>
        <w:t xml:space="preserve">Figure 23: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24</w:t>
      </w:r>
      <w:r>
        <w:t xml:space="preserve">) appears with the ability to sort the options by:</w:t>
      </w:r>
    </w:p>
    <w:p>
      <w:pPr>
        <w:pStyle w:val="Compact"/>
        <w:numPr>
          <w:numId w:val="1016"/>
          <w:ilvl w:val="0"/>
        </w:numPr>
      </w:pPr>
      <w:r>
        <w:t xml:space="preserve">In the Assessment section only, there is an additional option to sort by two categories:</w:t>
      </w:r>
      <w:r>
        <w:t xml:space="preserve"> </w:t>
      </w:r>
      <w:r>
        <w:t xml:space="preserve">“</w:t>
      </w:r>
      <w:r>
        <w:t xml:space="preserve">Output-Based Category</w:t>
      </w:r>
      <w:r>
        <w:t xml:space="preserve">”</w:t>
      </w:r>
      <w:r>
        <w:t xml:space="preserve"> </w:t>
      </w:r>
      <w:r>
        <w:t xml:space="preserve">(i.e., according to the general type of output generated by the assessment method or option); or</w:t>
      </w:r>
      <w:r>
        <w:t xml:space="preserve"> </w:t>
      </w:r>
      <w:r>
        <w:t xml:space="preserve">“</w:t>
      </w:r>
      <w:r>
        <w:t xml:space="preserve">Input-Based Category</w:t>
      </w:r>
      <w:r>
        <w:t xml:space="preserve">”</w:t>
      </w:r>
      <w:r>
        <w:t xml:space="preserve"> </w:t>
      </w:r>
      <w:r>
        <w:t xml:space="preserve">(i.e., according to the main form of input required by the assessment or option).</w:t>
      </w:r>
    </w:p>
    <w:p>
      <w:pPr>
        <w:pStyle w:val="Compact"/>
        <w:numPr>
          <w:numId w:val="1016"/>
          <w:ilvl w:val="0"/>
        </w:numPr>
      </w:pPr>
      <w:r>
        <w:rPr>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pStyle w:val="Compact"/>
        <w:numPr>
          <w:numId w:val="1016"/>
          <w:ilvl w:val="0"/>
        </w:numPr>
      </w:pPr>
      <w:r>
        <w:rPr>
          <w:b/>
        </w:rPr>
        <w:t xml:space="preserve">Customized Sort Order:</w:t>
      </w:r>
      <w:r>
        <w:t xml:space="preserve"> </w:t>
      </w:r>
      <w:r>
        <w:t xml:space="preserve">This maintains the current sort order but allows users to return to the results table and</w:t>
      </w:r>
      <w:r>
        <w:t xml:space="preserve"> </w:t>
      </w:r>
      <w:r>
        <w:t xml:space="preserve">“</w:t>
      </w:r>
      <w:r>
        <w:t xml:space="preserve">drag and drop</w:t>
      </w:r>
      <w:r>
        <w:t xml:space="preserve">”</w:t>
      </w:r>
      <w:r>
        <w:t xml:space="preserve"> </w:t>
      </w:r>
      <w:r>
        <w:t xml:space="preserve">options into the preferred order.</w:t>
      </w:r>
    </w:p>
    <w:p>
      <w:pPr>
        <w:pStyle w:val="Compact"/>
        <w:numPr>
          <w:numId w:val="1016"/>
          <w:ilvl w:val="0"/>
        </w:numPr>
      </w:pPr>
      <w:r>
        <w:rPr>
          <w:b/>
        </w:rPr>
        <w:t xml:space="preserve">Sort by option name:</w:t>
      </w:r>
      <w:r>
        <w:t xml:space="preserve"> </w:t>
      </w:r>
      <w:r>
        <w:t xml:space="preserve">Sorts options alphabetically by option name.</w:t>
      </w:r>
    </w:p>
    <w:p>
      <w:pPr>
        <w:pStyle w:val="Compact"/>
        <w:numPr>
          <w:numId w:val="1016"/>
          <w:ilvl w:val="0"/>
        </w:numPr>
      </w:pPr>
      <w:r>
        <w:rPr>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r>
        <w:t xml:space="preserve"> </w:t>
      </w:r>
      <w:r>
        <w:t xml:space="preserve">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23</w:t>
      </w:r>
      <w:r>
        <w:t xml:space="preserve">).</w:t>
      </w:r>
    </w:p>
    <w:p>
      <w:pPr>
        <w:pStyle w:val="CaptionedFigure"/>
      </w:pPr>
      <w:r>
        <w:drawing>
          <wp:inline>
            <wp:extent cx="5017673" cy="4018749"/>
            <wp:effectExtent b="0" l="0" r="0" t="0"/>
            <wp:docPr descr="Figure 24: Sort Options pop-up box."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75"/>
                    <a:stretch>
                      <a:fillRect/>
                    </a:stretch>
                  </pic:blipFill>
                  <pic:spPr bwMode="auto">
                    <a:xfrm>
                      <a:off x="0" y="0"/>
                      <a:ext cx="5017673" cy="4018749"/>
                    </a:xfrm>
                    <a:prstGeom prst="rect">
                      <a:avLst/>
                    </a:prstGeom>
                    <a:noFill/>
                    <a:ln w="9525">
                      <a:noFill/>
                      <a:headEnd/>
                      <a:tailEnd/>
                    </a:ln>
                  </pic:spPr>
                </pic:pic>
              </a:graphicData>
            </a:graphic>
          </wp:inline>
        </w:drawing>
      </w:r>
    </w:p>
    <w:p>
      <w:pPr>
        <w:pStyle w:val="ImageCaption"/>
      </w:pPr>
      <w:r>
        <w:t xml:space="preserve">Figure 24: Sort Options pop-up box.</w:t>
      </w:r>
    </w:p>
    <w:p>
      <w:pPr>
        <w:pStyle w:val="Heading2"/>
      </w:pPr>
      <w:bookmarkStart w:id="76" w:name="X85ef7b1d515bd16ee4abc3de3b37947c9868b0e"/>
      <w:r>
        <w:t xml:space="preserve">Bookmarked Questions and Influential Answers</w:t>
      </w:r>
      <w:bookmarkEnd w:id="76"/>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finally, a</w:t>
      </w:r>
      <w:r>
        <w:t xml:space="preserve"> </w:t>
      </w:r>
      <w:r>
        <w:t xml:space="preserve">“</w:t>
      </w:r>
      <w:r>
        <w:t xml:space="preserve">See All Answers</w:t>
      </w:r>
      <w:r>
        <w:t xml:space="preserve">”</w:t>
      </w:r>
      <w:r>
        <w:t xml:space="preserve"> </w:t>
      </w:r>
      <w:r>
        <w:t xml:space="preserve">link.</w:t>
      </w:r>
    </w:p>
    <w:p>
      <w:pPr>
        <w:pStyle w:val="Heading3"/>
      </w:pPr>
      <w:bookmarkStart w:id="77" w:name="bookmarked-questions"/>
      <w:r>
        <w:t xml:space="preserve">Bookmarked Questions</w:t>
      </w:r>
      <w:bookmarkEnd w:id="77"/>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25</w:t>
      </w:r>
      <w:r>
        <w:t xml:space="preserve">). Users can select each question to get a detailed list of all caveats invoked or criteria not met based on the response. Users can also select each question to change the answer, add notes, or remove bookmark. It is highly recommended to review these questions and invoked caveats so that users can update their response or provide more detailed notes on the response, based on seeing how the response impacts results.</w:t>
      </w:r>
    </w:p>
    <w:p>
      <w:pPr>
        <w:pStyle w:val="CaptionedFigure"/>
      </w:pPr>
      <w:r>
        <w:drawing>
          <wp:inline>
            <wp:extent cx="5334000" cy="1935851"/>
            <wp:effectExtent b="0" l="0" r="0" t="0"/>
            <wp:docPr descr="Figure 25: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78"/>
                    <a:stretch>
                      <a:fillRect/>
                    </a:stretch>
                  </pic:blipFill>
                  <pic:spPr bwMode="auto">
                    <a:xfrm>
                      <a:off x="0" y="0"/>
                      <a:ext cx="5334000" cy="1935851"/>
                    </a:xfrm>
                    <a:prstGeom prst="rect">
                      <a:avLst/>
                    </a:prstGeom>
                    <a:noFill/>
                    <a:ln w="9525">
                      <a:noFill/>
                      <a:headEnd/>
                      <a:tailEnd/>
                    </a:ln>
                  </pic:spPr>
                </pic:pic>
              </a:graphicData>
            </a:graphic>
          </wp:inline>
        </w:drawing>
      </w:r>
    </w:p>
    <w:p>
      <w:pPr>
        <w:pStyle w:val="ImageCaption"/>
      </w:pPr>
      <w:r>
        <w:t xml:space="preserve">Figure 25: List of bookmarked questions.</w:t>
      </w:r>
    </w:p>
    <w:p>
      <w:pPr>
        <w:pStyle w:val="Heading3"/>
      </w:pPr>
      <w:bookmarkStart w:id="79" w:name="influential-answers"/>
      <w:r>
        <w:t xml:space="preserve">Influential Answers</w:t>
      </w:r>
      <w:bookmarkEnd w:id="79"/>
    </w:p>
    <w:p>
      <w:pPr>
        <w:pStyle w:val="FirstParagraph"/>
      </w:pPr>
      <w:r>
        <w:t xml:space="preserve">The</w:t>
      </w:r>
      <w:r>
        <w:t xml:space="preserve"> </w:t>
      </w:r>
      <w:r>
        <w:t xml:space="preserve">“</w:t>
      </w:r>
      <w:r>
        <w:t xml:space="preserve">Influential Answers</w:t>
      </w:r>
      <w:r>
        <w:t xml:space="preserve">”</w:t>
      </w:r>
      <w:r>
        <w:t xml:space="preserve"> </w:t>
      </w:r>
      <w:r>
        <w:t xml:space="preserve">list is a summary of the questions and user responses that invoked the most eliminating criteria (by number), together with the number of caveats and criteria invoked, by assigned traffic light color (Figure</w:t>
      </w:r>
      <w:r>
        <w:t xml:space="preserve"> </w:t>
      </w:r>
      <w:r>
        <w:t xml:space="preserve">26</w:t>
      </w:r>
      <w:r>
        <w:t xml:space="preserve">). The caveats invoked by the question are displayed (color strength and number) to its left.</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an answer, add notes to the question, and see a list of all impacted options and their associated caveats (Figure</w:t>
      </w:r>
      <w:r>
        <w:t xml:space="preserve"> </w:t>
      </w:r>
      <w:r>
        <w:t xml:space="preserve">27</w:t>
      </w:r>
      <w:r>
        <w:t xml:space="preserve">).</w:t>
      </w:r>
    </w:p>
    <w:p>
      <w:pPr>
        <w:pStyle w:val="CaptionedFigure"/>
      </w:pPr>
      <w:r>
        <w:drawing>
          <wp:inline>
            <wp:extent cx="5334000" cy="2576308"/>
            <wp:effectExtent b="0" l="0" r="0" t="0"/>
            <wp:docPr descr="Figure 26: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0"/>
                    <a:stretch>
                      <a:fillRect/>
                    </a:stretch>
                  </pic:blipFill>
                  <pic:spPr bwMode="auto">
                    <a:xfrm>
                      <a:off x="0" y="0"/>
                      <a:ext cx="5334000" cy="2576308"/>
                    </a:xfrm>
                    <a:prstGeom prst="rect">
                      <a:avLst/>
                    </a:prstGeom>
                    <a:noFill/>
                    <a:ln w="9525">
                      <a:noFill/>
                      <a:headEnd/>
                      <a:tailEnd/>
                    </a:ln>
                  </pic:spPr>
                </pic:pic>
              </a:graphicData>
            </a:graphic>
          </wp:inline>
        </w:drawing>
      </w:r>
    </w:p>
    <w:p>
      <w:pPr>
        <w:pStyle w:val="ImageCaption"/>
      </w:pPr>
      <w:r>
        <w:t xml:space="preserve">Figure 26: List of influential answers.</w:t>
      </w:r>
    </w:p>
    <w:p>
      <w:pPr>
        <w:pStyle w:val="CaptionedFigure"/>
      </w:pPr>
      <w:r>
        <w:drawing>
          <wp:inline>
            <wp:extent cx="5334000" cy="4354173"/>
            <wp:effectExtent b="0" l="0" r="0" t="0"/>
            <wp:docPr descr="Figure 27: Impacted options for a question."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1"/>
                    <a:stretch>
                      <a:fillRect/>
                    </a:stretch>
                  </pic:blipFill>
                  <pic:spPr bwMode="auto">
                    <a:xfrm>
                      <a:off x="0" y="0"/>
                      <a:ext cx="5334000" cy="4354173"/>
                    </a:xfrm>
                    <a:prstGeom prst="rect">
                      <a:avLst/>
                    </a:prstGeom>
                    <a:noFill/>
                    <a:ln w="9525">
                      <a:noFill/>
                      <a:headEnd/>
                      <a:tailEnd/>
                    </a:ln>
                  </pic:spPr>
                </pic:pic>
              </a:graphicData>
            </a:graphic>
          </wp:inline>
        </w:drawing>
      </w:r>
    </w:p>
    <w:p>
      <w:pPr>
        <w:pStyle w:val="ImageCaption"/>
      </w:pPr>
      <w:r>
        <w:t xml:space="preserve">Figure 27: Impacted options for a question.</w:t>
      </w:r>
    </w:p>
    <w:p>
      <w:pPr>
        <w:pStyle w:val="BodyText"/>
      </w:pPr>
      <w:r>
        <w:t xml:space="preserve">At the bottom of these lists, there is a link to</w:t>
      </w:r>
      <w:r>
        <w:t xml:space="preserve"> </w:t>
      </w:r>
      <w:r>
        <w:t xml:space="preserve">“</w:t>
      </w:r>
      <w:r>
        <w:t xml:space="preserve">See All Answers</w:t>
      </w:r>
      <w:r>
        <w:t xml:space="preserve">”</w:t>
      </w:r>
      <w:r>
        <w:t xml:space="preserve"> </w:t>
      </w:r>
      <w:r>
        <w:t xml:space="preserve">(as well as at the top of the results screen under</w:t>
      </w:r>
      <w:r>
        <w:t xml:space="preserve"> </w:t>
      </w:r>
      <w:r>
        <w:t xml:space="preserve">“</w:t>
      </w:r>
      <w:r>
        <w:t xml:space="preserve">Answers</w:t>
      </w:r>
      <w:r>
        <w:t xml:space="preserve">”</w:t>
      </w:r>
      <w:r>
        <w:t xml:space="preserve">). These links take users to a full list of answers from each section, showing all information, including the number of caveats invoked, and any bookmarked questions. This is a good resource for users wanting to review the questionnaire responses for a fishery. Answers may also be changed and notes added, which update after clicking</w:t>
      </w:r>
      <w:r>
        <w:t xml:space="preserve"> </w:t>
      </w:r>
      <w:r>
        <w:t xml:space="preserve">“</w:t>
      </w:r>
      <w:r>
        <w:t xml:space="preserve">Save</w:t>
      </w:r>
      <w:r>
        <w:t xml:space="preserve">”</w:t>
      </w:r>
      <w:r>
        <w:t xml:space="preserve">.</w:t>
      </w:r>
    </w:p>
    <w:p>
      <w:pPr>
        <w:pStyle w:val="Heading2"/>
      </w:pPr>
      <w:bookmarkStart w:id="82" w:name="Results-Narrowing"/>
      <w:r>
        <w:t xml:space="preserve">Results Narrowing Process</w:t>
      </w:r>
      <w:bookmarkEnd w:id="82"/>
    </w:p>
    <w:p>
      <w:pPr>
        <w:pStyle w:val="FirstParagraph"/>
      </w:pPr>
      <w:r>
        <w:t xml:space="preserve">Typically, the FishPath questionnaire process results in a long list of potential options that are presented to the user. The challenge is to then refine this to a workable shortlist of options that can be reviewed in further detail, and around which a draft harvest strategy can be developed. This can be a daunting task, given the number of options, and the large amount of detail around the criteria and caveats invoked against each. As such, the Results Review provides guidance as to how to undertake the task of narrowing the list of viable harvest strategy components.</w:t>
      </w:r>
    </w:p>
    <w:p>
      <w:pPr>
        <w:pStyle w:val="BodyText"/>
      </w:pPr>
      <w:r>
        <w:t xml:space="preserve">The Results Narrowing process prompts the user through a series of steps to further refine and narrow the options for their fishery, and to consider detail about the application of each option in the fishery. 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Review Top Options</w:t>
      </w:r>
      <w:r>
        <w:t xml:space="preserve">”</w:t>
      </w:r>
      <w:r>
        <w:t xml:space="preserve"> </w:t>
      </w:r>
      <w:r>
        <w:t xml:space="preserve">button located above the Results Table in the Results Screen. (See Figure</w:t>
      </w:r>
      <w:r>
        <w:t xml:space="preserve"> </w:t>
      </w:r>
      <w:r>
        <w:t xml:space="preserve">13</w:t>
      </w:r>
      <w:r>
        <w:t xml:space="preserve">)</w:t>
      </w:r>
    </w:p>
    <w:p>
      <w:pPr>
        <w:pStyle w:val="BodyText"/>
      </w:pPr>
      <w:r>
        <w:t xml:space="preserve">After clicking on</w:t>
      </w:r>
      <w:r>
        <w:t xml:space="preserve"> </w:t>
      </w:r>
      <w:r>
        <w:t xml:space="preserve">“</w:t>
      </w:r>
      <w:r>
        <w:t xml:space="preserve">Review Top Options</w:t>
      </w:r>
      <w:r>
        <w:t xml:space="preserve">”</w:t>
      </w:r>
      <w:r>
        <w:t xml:space="preserve">, the user is directed to a step-wise results review process (Figure</w:t>
      </w:r>
      <w:r>
        <w:t xml:space="preserve"> </w:t>
      </w:r>
      <w:r>
        <w:t xml:space="preserve">28</w:t>
      </w:r>
      <w:r>
        <w:t xml:space="preserve">). Each step of the results review process contains an</w:t>
      </w:r>
      <w:r>
        <w:t xml:space="preserve"> </w:t>
      </w:r>
      <w:r>
        <w:t xml:space="preserve">“</w:t>
      </w:r>
      <w:r>
        <w:t xml:space="preserve">Instructions</w:t>
      </w:r>
      <w:r>
        <w:t xml:space="preserve">”</w:t>
      </w:r>
      <w:r>
        <w:t xml:space="preserve"> </w:t>
      </w:r>
      <w:r>
        <w:t xml:space="preserve">box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28</w:t>
      </w:r>
      <w:r>
        <w:t xml:space="preserve">). Across the top of the page, the user views steps in the process:</w:t>
      </w:r>
    </w:p>
    <w:p>
      <w:pPr>
        <w:pStyle w:val="CaptionedFigure"/>
      </w:pPr>
      <w:r>
        <w:drawing>
          <wp:inline>
            <wp:extent cx="5334000" cy="2708522"/>
            <wp:effectExtent b="0" l="0" r="0" t="0"/>
            <wp:docPr descr="Figure 28: Overview of the FishPath Tool results screen and results review process." title="" id="1" name="Picture"/>
            <a:graphic>
              <a:graphicData uri="http://schemas.openxmlformats.org/drawingml/2006/picture">
                <pic:pic>
                  <pic:nvPicPr>
                    <pic:cNvPr descr="images/results-review.png" id="0" name="Picture"/>
                    <pic:cNvPicPr>
                      <a:picLocks noChangeArrowheads="1" noChangeAspect="1"/>
                    </pic:cNvPicPr>
                  </pic:nvPicPr>
                  <pic:blipFill>
                    <a:blip r:embed="rId83"/>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28: Overview of the FishPath Tool results screen and results review process.</w:t>
      </w:r>
    </w:p>
    <w:p>
      <w:pPr>
        <w:pStyle w:val="BodyText"/>
      </w:pPr>
      <w:r>
        <w:t xml:space="preserve">The narrowing process (done as a group exercise or by independent users), consists of the following major steps:</w:t>
      </w:r>
    </w:p>
    <w:p>
      <w:pPr>
        <w:pStyle w:val="Compact"/>
        <w:numPr>
          <w:numId w:val="1017"/>
          <w:ilvl w:val="0"/>
        </w:numPr>
      </w:pPr>
      <w:r>
        <w:rPr>
          <w:b/>
        </w:rPr>
        <w:t xml:space="preserve">Option Retention (Figure</w:t>
      </w:r>
      <w:r>
        <w:rPr>
          <w:b/>
        </w:rPr>
        <w:t xml:space="preserve"> </w:t>
      </w:r>
      <w:r>
        <w:rPr>
          <w:b/>
        </w:rPr>
        <w:t xml:space="preserve">29</w:t>
      </w:r>
      <w:r>
        <w:rPr>
          <w:b/>
        </w:rPr>
        <w:t xml:space="preserve">):</w:t>
      </w:r>
      <w:r>
        <w:t xml:space="preserve"> </w:t>
      </w:r>
      <w:r>
        <w:t xml:space="preserve">The goal of the first step is to hide all options that are clearly not viable for the fishery due to failure to meet minimum criteria, logistical, political, or other major reasons. Users should carefully review the list to hide these options, as well as un-hide options that they want to reinstate. Specific instructions are included on the screen in this step of the process, including questions to consider as narrowing the list.</w:t>
      </w:r>
    </w:p>
    <w:p>
      <w:pPr>
        <w:pStyle w:val="CaptionedFigure"/>
      </w:pPr>
      <w:r>
        <w:drawing>
          <wp:inline>
            <wp:extent cx="5334000" cy="2708522"/>
            <wp:effectExtent b="0" l="0" r="0" t="0"/>
            <wp:docPr descr="Figure 29: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84"/>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29: Step 1, Option Retention, in the results review process.</w:t>
      </w:r>
    </w:p>
    <w:p>
      <w:pPr>
        <w:pStyle w:val="Compact"/>
        <w:numPr>
          <w:numId w:val="1018"/>
          <w:ilvl w:val="0"/>
        </w:numPr>
      </w:pPr>
      <w:r>
        <w:rPr>
          <w:b/>
        </w:rPr>
        <w:t xml:space="preserve">Identification of Top Options (Figure</w:t>
      </w:r>
      <w:r>
        <w:rPr>
          <w:b/>
        </w:rPr>
        <w:t xml:space="preserve"> </w:t>
      </w:r>
      <w:r>
        <w:rPr>
          <w:b/>
        </w:rPr>
        <w:t xml:space="preserve">30</w:t>
      </w:r>
      <w:r>
        <w:rPr>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number of cautionary caveats and criteria, their relative strength, and the ratio of cautionary caveats to positive attribute caveats. Specific instructions are included on the screen in this step of the process.</w:t>
      </w:r>
    </w:p>
    <w:p>
      <w:pPr>
        <w:pStyle w:val="CaptionedFigure"/>
      </w:pPr>
      <w:r>
        <w:drawing>
          <wp:inline>
            <wp:extent cx="5334000" cy="2709990"/>
            <wp:effectExtent b="0" l="0" r="0" t="0"/>
            <wp:docPr descr="Figure 30: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85"/>
                    <a:stretch>
                      <a:fillRect/>
                    </a:stretch>
                  </pic:blipFill>
                  <pic:spPr bwMode="auto">
                    <a:xfrm>
                      <a:off x="0" y="0"/>
                      <a:ext cx="5334000" cy="2709990"/>
                    </a:xfrm>
                    <a:prstGeom prst="rect">
                      <a:avLst/>
                    </a:prstGeom>
                    <a:noFill/>
                    <a:ln w="9525">
                      <a:noFill/>
                      <a:headEnd/>
                      <a:tailEnd/>
                    </a:ln>
                  </pic:spPr>
                </pic:pic>
              </a:graphicData>
            </a:graphic>
          </wp:inline>
        </w:drawing>
      </w:r>
    </w:p>
    <w:p>
      <w:pPr>
        <w:pStyle w:val="ImageCaption"/>
      </w:pPr>
      <w:r>
        <w:t xml:space="preserve">Figure 30: Step 2, Identification of Top Options, in the results review process.</w:t>
      </w:r>
    </w:p>
    <w:p>
      <w:pPr>
        <w:pStyle w:val="Compact"/>
        <w:numPr>
          <w:numId w:val="1019"/>
          <w:ilvl w:val="0"/>
        </w:numPr>
      </w:pPr>
      <w:r>
        <w:rPr>
          <w:b/>
        </w:rPr>
        <w:t xml:space="preserve">Critical Evaluation of Top Options (Figure</w:t>
      </w:r>
      <w:r>
        <w:rPr>
          <w:b/>
        </w:rPr>
        <w:t xml:space="preserve"> </w:t>
      </w:r>
      <w:r>
        <w:rPr>
          <w:b/>
        </w:rPr>
        <w:t xml:space="preserve">31</w:t>
      </w:r>
      <w:r>
        <w:rPr>
          <w:b/>
        </w:rPr>
        <w:t xml:space="preserve">):</w:t>
      </w:r>
      <w:r>
        <w:t xml:space="preserve"> </w:t>
      </w:r>
      <w:r>
        <w:t xml:space="preserve">In the final step, users can more critically evaluate the top options by considering each criterion and caveat in complete detail, and, potentially, ranking the options in order of potential. To facilitate this process, users can export a report that lists the top options and all of their details.</w:t>
      </w:r>
    </w:p>
    <w:p>
      <w:pPr>
        <w:pStyle w:val="CaptionedFigure"/>
      </w:pPr>
      <w:r>
        <w:drawing>
          <wp:inline>
            <wp:extent cx="5334000" cy="2195231"/>
            <wp:effectExtent b="0" l="0" r="0" t="0"/>
            <wp:docPr descr="Figure 31: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86"/>
                    <a:stretch>
                      <a:fillRect/>
                    </a:stretch>
                  </pic:blipFill>
                  <pic:spPr bwMode="auto">
                    <a:xfrm>
                      <a:off x="0" y="0"/>
                      <a:ext cx="5334000" cy="2195231"/>
                    </a:xfrm>
                    <a:prstGeom prst="rect">
                      <a:avLst/>
                    </a:prstGeom>
                    <a:noFill/>
                    <a:ln w="9525">
                      <a:noFill/>
                      <a:headEnd/>
                      <a:tailEnd/>
                    </a:ln>
                  </pic:spPr>
                </pic:pic>
              </a:graphicData>
            </a:graphic>
          </wp:inline>
        </w:drawing>
      </w:r>
    </w:p>
    <w:p>
      <w:pPr>
        <w:pStyle w:val="ImageCaption"/>
      </w:pPr>
      <w:r>
        <w:t xml:space="preserve">Figure 31: Step 3, Critical Evaluation of Top Options, in the results review process.</w:t>
      </w:r>
    </w:p>
    <w:p>
      <w:pPr>
        <w:pStyle w:val="Heading1"/>
      </w:pPr>
      <w:bookmarkStart w:id="87" w:name="appendix-appendix"/>
      <w:r>
        <w:t xml:space="preserve">(APPENDIX) Appendix</w:t>
      </w:r>
      <w:bookmarkEnd w:id="87"/>
    </w:p>
    <w:p>
      <w:pPr>
        <w:pStyle w:val="Heading1"/>
      </w:pPr>
      <w:bookmarkStart w:id="88" w:name="fishpath-tool-frequently-asked-questions"/>
      <w:r>
        <w:t xml:space="preserve">FishPath Tool Frequently Asked Questions</w:t>
      </w:r>
      <w:bookmarkEnd w:id="88"/>
    </w:p>
    <w:p>
      <w:pPr>
        <w:pStyle w:val="FirstParagraph"/>
      </w:pPr>
      <w:r>
        <w:rPr>
          <w:b/>
        </w:rPr>
        <w:t xml:space="preserve">How do I submit feedback about content or user experience?</w:t>
      </w:r>
    </w:p>
    <w:p>
      <w:pPr>
        <w:pStyle w:val="BodyText"/>
      </w:pPr>
      <w:r>
        <w:t xml:space="preserve">FishPath benefits from the expertise and feedback of the global community of FishPath tool users. Users are encouraged to submit feedback about the FishPath tool, ultimately helping to improve the tool. There are three ways to submit feedback:</w:t>
      </w:r>
    </w:p>
    <w:p>
      <w:pPr>
        <w:pStyle w:val="Compact"/>
        <w:numPr>
          <w:numId w:val="1020"/>
          <w:ilvl w:val="0"/>
        </w:numPr>
      </w:pPr>
      <w:r>
        <w:t xml:space="preserve">Submit issue on GitHub</w:t>
      </w:r>
      <w:r>
        <w:br/>
      </w:r>
    </w:p>
    <w:p>
      <w:pPr>
        <w:pStyle w:val="Compact"/>
        <w:numPr>
          <w:numId w:val="1020"/>
          <w:ilvl w:val="0"/>
        </w:numPr>
      </w:pPr>
      <w:r>
        <w:t xml:space="preserve">The</w:t>
      </w:r>
      <w:r>
        <w:t xml:space="preserve"> </w:t>
      </w:r>
      <w:r>
        <w:t xml:space="preserve">“</w:t>
      </w:r>
      <w:r>
        <w:t xml:space="preserve">Help us improve the FishPath tool</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20"/>
          <w:ilvl w:val="0"/>
        </w:numPr>
      </w:pPr>
      <w:r>
        <w:t xml:space="preserve">Email</w:t>
      </w:r>
      <w:r>
        <w:t xml:space="preserve"> </w:t>
      </w:r>
      <w:hyperlink r:id="rId25">
        <w:r>
          <w:rPr>
            <w:rStyle w:val="Hyperlink"/>
          </w:rPr>
          <w:t xml:space="preserve">support@fishpath.org</w:t>
        </w:r>
      </w:hyperlink>
    </w:p>
    <w:p>
      <w:pPr>
        <w:pStyle w:val="FirstParagraph"/>
      </w:pPr>
      <w:r>
        <w:rPr>
          <w:b/>
        </w:rPr>
        <w:t xml:space="preserve">How is my feedback addressed and incorporated?</w:t>
      </w:r>
    </w:p>
    <w:p>
      <w:pPr>
        <w:pStyle w:val="BodyText"/>
      </w:pPr>
      <w:r>
        <w:t xml:space="preserve">The FishPath Tool undergoes periodic updates to ensure that the tool reflects the latest fisheries science and management information. User-submitted feedback and suggestions, as well as information from periodic reviews of the tool, are collated and synthesized by the FishPath Core Team and addressed and incorporated.</w:t>
      </w:r>
    </w:p>
    <w:p>
      <w:pPr>
        <w:pStyle w:val="BodyText"/>
      </w:pPr>
      <w:r>
        <w:rPr>
          <w:b/>
        </w:rPr>
        <w:t xml:space="preserve">How often is the FishPath tool updated?</w:t>
      </w:r>
    </w:p>
    <w:p>
      <w:pPr>
        <w:pStyle w:val="BodyText"/>
      </w:pPr>
      <w:r>
        <w:t xml:space="preserve">Every 6 months.</w:t>
      </w:r>
    </w:p>
    <w:p>
      <w:pPr>
        <w:pStyle w:val="BodyText"/>
      </w:pPr>
      <w:r>
        <w:rPr>
          <w:b/>
        </w:rPr>
        <w:t xml:space="preserve">How will I know about updates to the FishPath tool?</w:t>
      </w:r>
    </w:p>
    <w:p>
      <w:pPr>
        <w:pStyle w:val="BodyText"/>
      </w:pPr>
      <w:r>
        <w:t xml:space="preserve">All FishPath users will receive an email every 6 months when updates are published. Common changes that users may expect are the addition of new options and questions. When they revisit the FishPath tool, they may need to answer new questions to see results and they may have new options in the results.</w:t>
      </w:r>
    </w:p>
    <w:p>
      <w:pPr>
        <w:pStyle w:val="BodyText"/>
      </w:pPr>
      <w:r>
        <w:rPr>
          <w:b/>
        </w:rPr>
        <w:t xml:space="preserve">Are answers to new questions also updated in</w:t>
      </w:r>
      <w:r>
        <w:rPr>
          <w:b/>
        </w:rPr>
        <w:t xml:space="preserve"> </w:t>
      </w:r>
      <w:r>
        <w:rPr>
          <w:b/>
        </w:rPr>
        <w:t xml:space="preserve">“</w:t>
      </w:r>
      <w:r>
        <w:rPr>
          <w:b/>
        </w:rPr>
        <w:t xml:space="preserve">copied fisheries</w:t>
      </w:r>
      <w:r>
        <w:rPr>
          <w:b/>
        </w:rPr>
        <w:t xml:space="preserve">”</w:t>
      </w:r>
      <w:r>
        <w:rPr>
          <w:b/>
        </w:rPr>
        <w:t xml:space="preserve">?</w:t>
      </w:r>
    </w:p>
    <w:p>
      <w:pPr>
        <w:pStyle w:val="BodyText"/>
      </w:pPr>
      <w:r>
        <w:t xml:space="preserve">Once a fishery is copied, changes in the original or copied fishery will have no effect on the other.</w:t>
      </w:r>
    </w:p>
    <w:p>
      <w:pPr>
        <w:pStyle w:val="Heading1"/>
      </w:pPr>
      <w:bookmarkStart w:id="89" w:name="terms"/>
      <w:r>
        <w:t xml:space="preserve">FishPath Tool Terms of Service</w:t>
      </w:r>
      <w:bookmarkEnd w:id="89"/>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90" w:name="Xf5b0b5e6b6b9b88760277e92f937e1b88df7ca8"/>
      <w:r>
        <w:t xml:space="preserve">FishPath Data: Your Rights and Your Privacy</w:t>
      </w:r>
      <w:bookmarkEnd w:id="90"/>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91">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92" w:name="your-responsibilities"/>
      <w:r>
        <w:t xml:space="preserve">Your Responsibilities</w:t>
      </w:r>
      <w:bookmarkEnd w:id="92"/>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21"/>
          <w:ilvl w:val="0"/>
        </w:numPr>
      </w:pPr>
      <w:r>
        <w:t xml:space="preserve">resell FishPath or data from FishPath, or any portion thereof;</w:t>
      </w:r>
    </w:p>
    <w:p>
      <w:pPr>
        <w:pStyle w:val="Compact"/>
        <w:numPr>
          <w:numId w:val="1021"/>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21"/>
          <w:ilvl w:val="0"/>
        </w:numPr>
      </w:pPr>
      <w:r>
        <w:t xml:space="preserve">probe, scan, tamper with, or test the vulnerability of FishPath or any of our systems or networks;</w:t>
      </w:r>
    </w:p>
    <w:p>
      <w:pPr>
        <w:pStyle w:val="Compact"/>
        <w:numPr>
          <w:numId w:val="1021"/>
          <w:ilvl w:val="0"/>
        </w:numPr>
      </w:pPr>
      <w:r>
        <w:t xml:space="preserve">avoid, breach, deactivate, impair, or circumvent any security or authentication measures, including those that protect FishPath and its data;</w:t>
      </w:r>
    </w:p>
    <w:p>
      <w:pPr>
        <w:pStyle w:val="Compact"/>
        <w:numPr>
          <w:numId w:val="1021"/>
          <w:ilvl w:val="0"/>
        </w:numPr>
      </w:pPr>
      <w:r>
        <w:t xml:space="preserve">attempt to decipher, decompile, disassemble or reverse engineer any of the software used to provide FishPath;</w:t>
      </w:r>
    </w:p>
    <w:p>
      <w:pPr>
        <w:pStyle w:val="Compact"/>
        <w:numPr>
          <w:numId w:val="1021"/>
          <w:ilvl w:val="0"/>
        </w:numPr>
      </w:pPr>
      <w:r>
        <w:t xml:space="preserve">interfere with, or attempt to interfere with, the access of any user, host or network, including, without limitation, by sending a virus, overloading, or flooding FishPath;</w:t>
      </w:r>
    </w:p>
    <w:p>
      <w:pPr>
        <w:pStyle w:val="Compact"/>
        <w:numPr>
          <w:numId w:val="1021"/>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93" w:name="rights-you-grant-in-your-information"/>
      <w:r>
        <w:t xml:space="preserve">Rights You Grant in Your Information</w:t>
      </w:r>
      <w:bookmarkEnd w:id="93"/>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94" w:name="rights-that-we-grant-you"/>
      <w:r>
        <w:t xml:space="preserve">Rights That We Grant You</w:t>
      </w:r>
      <w:bookmarkEnd w:id="94"/>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95" w:name="modifying-our-terms-of-service"/>
      <w:r>
        <w:t xml:space="preserve">Modifying our Terms of Service</w:t>
      </w:r>
      <w:bookmarkEnd w:id="95"/>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96" w:name="X01cda1db787eb5d53876ee0aae61a7f65844ac8"/>
      <w:r>
        <w:t xml:space="preserve">Disclaimers, Limited Liability and Indemnity</w:t>
      </w:r>
      <w:bookmarkEnd w:id="96"/>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97" w:name="disclaimers-and-limitation-of-liability"/>
      <w:r>
        <w:t xml:space="preserve">DISCLAIMERS AND LIMITATION OF LIABILITY</w:t>
      </w:r>
      <w:bookmarkEnd w:id="97"/>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98" w:name="indemnity"/>
      <w:r>
        <w:t xml:space="preserve">Indemnity</w:t>
      </w:r>
      <w:bookmarkEnd w:id="98"/>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99" w:name="termination"/>
      <w:r>
        <w:t xml:space="preserve">Termination</w:t>
      </w:r>
      <w:bookmarkEnd w:id="99"/>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00" w:name="general-terms"/>
      <w:r>
        <w:t xml:space="preserve">General Terms</w:t>
      </w:r>
      <w:bookmarkEnd w:id="100"/>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78" Target="media/rId78.png" /><Relationship Type="http://schemas.openxmlformats.org/officeDocument/2006/relationships/image" Id="rId57" Target="media/rId57.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56" Target="media/rId56.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hyperlink" Id="rId30" Target="https://tool.fishpath.org/"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30" Target="https://tool.fishpath.org/"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2020-06-09T19:54:15Z</dcterms:created>
  <dcterms:modified xsi:type="dcterms:W3CDTF">2020-06-09T19:54:15Z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Last updated: June 09, 2020</vt:lpwstr>
  </property>
  <property fmtid="{D5CDD505-2E9C-101B-9397-08002B2CF9AE}" pid="5" name="documentclass">
    <vt:lpwstr>book</vt:lpwstr>
  </property>
  <property fmtid="{D5CDD505-2E9C-101B-9397-08002B2CF9AE}" pid="6" name="fontsize">
    <vt:lpwstr>11pt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